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632" w:firstLineChars="200"/>
        <w:jc w:val="right"/>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snapToGrid w:val="0"/>
        <w:jc w:val="center"/>
        <w:rPr>
          <w:rFonts w:hint="eastAsia" w:ascii="方正小标宋简体" w:eastAsia="方正小标宋简体"/>
          <w:spacing w:val="60"/>
          <w:sz w:val="74"/>
        </w:rPr>
      </w:pPr>
      <w:r>
        <w:rPr>
          <w:rFonts w:hint="eastAsia" w:ascii="方正小标宋简体" w:eastAsia="方正小标宋简体"/>
          <w:spacing w:val="60"/>
          <w:sz w:val="74"/>
        </w:rPr>
        <w:t>2021年度</w:t>
      </w:r>
    </w:p>
    <w:p>
      <w:pPr>
        <w:snapToGrid w:val="0"/>
        <w:jc w:val="center"/>
        <w:rPr>
          <w:rFonts w:hint="eastAsia" w:ascii="方正小标宋简体" w:eastAsia="方正小标宋简体"/>
          <w:spacing w:val="60"/>
          <w:sz w:val="74"/>
        </w:rPr>
      </w:pPr>
      <w:r>
        <w:rPr>
          <w:rFonts w:hint="eastAsia" w:ascii="方正小标宋简体" w:eastAsia="方正小标宋简体"/>
          <w:spacing w:val="60"/>
          <w:sz w:val="74"/>
        </w:rPr>
        <w:t>泰安市社会福利院（泰安市儿童福利院）决算</w:t>
      </w:r>
    </w:p>
    <w:p>
      <w:pPr>
        <w:jc w:val="center"/>
        <w:rPr>
          <w:rFonts w:hint="eastAsia" w:ascii="方正小标宋简体" w:eastAsia="方正小标宋简体"/>
          <w:spacing w:val="60"/>
          <w:sz w:val="74"/>
        </w:rPr>
      </w:pPr>
    </w:p>
    <w:p>
      <w:pPr>
        <w:jc w:val="center"/>
        <w:rPr>
          <w:rFonts w:hint="eastAsia" w:ascii="楷体_GB2312" w:eastAsia="楷体_GB2312"/>
          <w:b/>
          <w:sz w:val="42"/>
        </w:rPr>
      </w:pPr>
    </w:p>
    <w:p>
      <w:pPr>
        <w:jc w:val="center"/>
        <w:rPr>
          <w:rFonts w:hint="eastAsia" w:ascii="楷体_GB2312" w:eastAsia="楷体_GB2312"/>
          <w:b/>
          <w:sz w:val="42"/>
        </w:rPr>
      </w:pPr>
    </w:p>
    <w:p>
      <w:pPr>
        <w:rPr>
          <w:rFonts w:hint="eastAsia" w:ascii="仿宋_GB2312" w:eastAsia="仿宋_GB2312"/>
        </w:rPr>
      </w:pPr>
      <w:r>
        <w:rPr>
          <w:rFonts w:hint="eastAsia" w:ascii="楷体_GB2312" w:eastAsia="楷体_GB2312"/>
          <w:b/>
          <w:sz w:val="42"/>
        </w:rPr>
        <w:t xml:space="preserve"> </w:t>
      </w:r>
    </w:p>
    <w:p>
      <w:pPr>
        <w:spacing w:after="305" w:afterLines="50" w:line="580" w:lineRule="exact"/>
        <w:jc w:val="center"/>
        <w:rPr>
          <w:rFonts w:hint="eastAsia" w:ascii="方正小标宋简体" w:eastAsia="方正小标宋简体"/>
          <w:sz w:val="44"/>
          <w:szCs w:val="44"/>
        </w:rPr>
      </w:pPr>
    </w:p>
    <w:p>
      <w:pPr>
        <w:spacing w:after="305" w:afterLines="50" w:line="580" w:lineRule="exact"/>
        <w:jc w:val="center"/>
        <w:rPr>
          <w:rFonts w:hint="eastAsia" w:ascii="方正小标宋简体" w:eastAsia="方正小标宋简体"/>
          <w:sz w:val="44"/>
          <w:szCs w:val="44"/>
        </w:rPr>
      </w:pPr>
    </w:p>
    <w:p>
      <w:pPr>
        <w:spacing w:after="305" w:afterLines="50" w:line="580" w:lineRule="exact"/>
        <w:jc w:val="center"/>
        <w:rPr>
          <w:rFonts w:hint="eastAsia" w:ascii="方正小标宋简体" w:eastAsia="方正小标宋简体"/>
          <w:sz w:val="44"/>
          <w:szCs w:val="44"/>
        </w:rPr>
      </w:pPr>
    </w:p>
    <w:p>
      <w:pPr>
        <w:spacing w:after="305" w:afterLines="50" w:line="580" w:lineRule="exact"/>
        <w:jc w:val="center"/>
        <w:rPr>
          <w:rFonts w:hint="eastAsia" w:ascii="方正小标宋简体" w:eastAsia="方正小标宋简体"/>
          <w:sz w:val="44"/>
          <w:szCs w:val="44"/>
        </w:rPr>
        <w:sectPr>
          <w:headerReference r:id="rId3" w:type="default"/>
          <w:footerReference r:id="rId4" w:type="default"/>
          <w:footerReference r:id="rId5" w:type="even"/>
          <w:pgSz w:w="11906" w:h="16838"/>
          <w:pgMar w:top="1701" w:right="1531" w:bottom="1701" w:left="1531" w:header="0" w:footer="1418" w:gutter="0"/>
          <w:pgNumType w:fmt="numberInDash" w:start="1"/>
          <w:cols w:space="720" w:num="1"/>
          <w:docGrid w:type="linesAndChars" w:linePitch="610" w:charSpace="-849"/>
        </w:sectPr>
      </w:pPr>
    </w:p>
    <w:p>
      <w:pPr>
        <w:spacing w:after="305" w:afterLines="50" w:line="580" w:lineRule="exact"/>
        <w:jc w:val="center"/>
        <w:rPr>
          <w:rFonts w:hint="eastAsia" w:ascii="方正小标宋简体" w:eastAsia="方正小标宋简体"/>
          <w:sz w:val="44"/>
          <w:szCs w:val="44"/>
        </w:rPr>
      </w:pPr>
    </w:p>
    <w:p>
      <w:pPr>
        <w:spacing w:after="305" w:afterLines="50"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目  录</w:t>
      </w:r>
    </w:p>
    <w:p>
      <w:pPr>
        <w:spacing w:line="580" w:lineRule="exact"/>
        <w:ind w:firstLine="316" w:firstLineChars="100"/>
        <w:rPr>
          <w:rFonts w:hint="eastAsia" w:ascii="黑体" w:hAnsi="黑体" w:eastAsia="黑体"/>
        </w:rPr>
      </w:pPr>
      <w:r>
        <w:rPr>
          <w:rFonts w:hint="eastAsia" w:ascii="黑体" w:hAnsi="黑体" w:eastAsia="黑体"/>
        </w:rPr>
        <w:t>第一部分  单位概况</w:t>
      </w:r>
    </w:p>
    <w:p>
      <w:pPr>
        <w:spacing w:line="580" w:lineRule="exact"/>
        <w:ind w:firstLine="632" w:firstLineChars="200"/>
        <w:rPr>
          <w:rFonts w:hint="eastAsia" w:ascii="仿宋_GB2312" w:eastAsia="仿宋_GB2312"/>
        </w:rPr>
      </w:pPr>
      <w:r>
        <w:rPr>
          <w:rFonts w:hint="eastAsia" w:ascii="仿宋_GB2312" w:eastAsia="仿宋_GB2312"/>
        </w:rPr>
        <w:t>一、单位职责</w:t>
      </w:r>
    </w:p>
    <w:p>
      <w:pPr>
        <w:spacing w:line="580" w:lineRule="exact"/>
        <w:ind w:firstLine="632" w:firstLineChars="200"/>
        <w:rPr>
          <w:rFonts w:hint="eastAsia" w:ascii="仿宋_GB2312" w:eastAsia="仿宋_GB2312"/>
        </w:rPr>
      </w:pPr>
      <w:r>
        <w:rPr>
          <w:rFonts w:hint="eastAsia" w:ascii="仿宋_GB2312" w:eastAsia="仿宋_GB2312"/>
        </w:rPr>
        <w:t>二、机构设置</w:t>
      </w:r>
    </w:p>
    <w:p>
      <w:pPr>
        <w:spacing w:line="580" w:lineRule="exact"/>
        <w:ind w:firstLine="316" w:firstLineChars="100"/>
        <w:rPr>
          <w:rFonts w:hint="eastAsia" w:ascii="黑体" w:hAnsi="黑体" w:eastAsia="黑体"/>
        </w:rPr>
      </w:pPr>
      <w:r>
        <w:rPr>
          <w:rFonts w:hint="eastAsia" w:ascii="黑体" w:hAnsi="黑体" w:eastAsia="黑体"/>
        </w:rPr>
        <w:t>第二部分  2021年度单位决算表</w:t>
      </w:r>
    </w:p>
    <w:p>
      <w:pPr>
        <w:spacing w:line="580" w:lineRule="exact"/>
        <w:ind w:firstLine="632" w:firstLineChars="200"/>
        <w:rPr>
          <w:rFonts w:hint="eastAsia" w:ascii="仿宋_GB2312" w:eastAsia="仿宋_GB2312"/>
        </w:rPr>
      </w:pPr>
      <w:r>
        <w:rPr>
          <w:rFonts w:hint="eastAsia" w:ascii="仿宋_GB2312" w:eastAsia="仿宋_GB2312"/>
        </w:rPr>
        <w:t>一、收入支出决算总表</w:t>
      </w:r>
    </w:p>
    <w:p>
      <w:pPr>
        <w:spacing w:line="580" w:lineRule="exact"/>
        <w:ind w:firstLine="632" w:firstLineChars="200"/>
        <w:rPr>
          <w:rFonts w:hint="eastAsia" w:ascii="仿宋_GB2312" w:eastAsia="仿宋_GB2312"/>
        </w:rPr>
      </w:pPr>
      <w:r>
        <w:rPr>
          <w:rFonts w:hint="eastAsia" w:ascii="仿宋_GB2312" w:eastAsia="仿宋_GB2312"/>
        </w:rPr>
        <w:t>二、收入决算表</w:t>
      </w:r>
    </w:p>
    <w:p>
      <w:pPr>
        <w:spacing w:line="580" w:lineRule="exact"/>
        <w:ind w:firstLine="632" w:firstLineChars="200"/>
        <w:rPr>
          <w:rFonts w:hint="eastAsia" w:ascii="仿宋_GB2312" w:eastAsia="仿宋_GB2312"/>
        </w:rPr>
      </w:pPr>
      <w:r>
        <w:rPr>
          <w:rFonts w:hint="eastAsia" w:ascii="仿宋_GB2312" w:eastAsia="仿宋_GB2312"/>
        </w:rPr>
        <w:t>三、支出决算表</w:t>
      </w:r>
    </w:p>
    <w:p>
      <w:pPr>
        <w:spacing w:line="580" w:lineRule="exact"/>
        <w:ind w:firstLine="632" w:firstLineChars="200"/>
        <w:rPr>
          <w:rFonts w:hint="eastAsia" w:ascii="仿宋_GB2312" w:eastAsia="仿宋_GB2312"/>
        </w:rPr>
      </w:pPr>
      <w:r>
        <w:rPr>
          <w:rFonts w:hint="eastAsia" w:ascii="仿宋_GB2312" w:eastAsia="仿宋_GB2312"/>
        </w:rPr>
        <w:t>四、财政拨款收入支出决算总表</w:t>
      </w:r>
    </w:p>
    <w:p>
      <w:pPr>
        <w:spacing w:line="580" w:lineRule="exact"/>
        <w:ind w:firstLine="632" w:firstLineChars="200"/>
        <w:rPr>
          <w:rFonts w:hint="eastAsia" w:ascii="仿宋_GB2312" w:eastAsia="仿宋_GB2312"/>
        </w:rPr>
      </w:pPr>
      <w:r>
        <w:rPr>
          <w:rFonts w:hint="eastAsia" w:ascii="仿宋_GB2312" w:eastAsia="仿宋_GB2312"/>
        </w:rPr>
        <w:t>五、一般公共预算财政拨款支出决算表</w:t>
      </w:r>
    </w:p>
    <w:p>
      <w:pPr>
        <w:spacing w:line="580" w:lineRule="exact"/>
        <w:ind w:firstLine="632" w:firstLineChars="200"/>
        <w:rPr>
          <w:rFonts w:hint="eastAsia" w:ascii="仿宋_GB2312" w:eastAsia="仿宋_GB2312"/>
        </w:rPr>
      </w:pPr>
      <w:r>
        <w:rPr>
          <w:rFonts w:hint="eastAsia" w:ascii="仿宋_GB2312" w:eastAsia="仿宋_GB2312"/>
        </w:rPr>
        <w:t>六、一般公共预算财政拨款基本支出决算表</w:t>
      </w:r>
    </w:p>
    <w:p>
      <w:pPr>
        <w:spacing w:line="580" w:lineRule="exact"/>
        <w:ind w:firstLine="632" w:firstLineChars="200"/>
        <w:rPr>
          <w:rFonts w:hint="eastAsia" w:ascii="仿宋_GB2312" w:eastAsia="仿宋_GB2312"/>
        </w:rPr>
      </w:pPr>
      <w:r>
        <w:rPr>
          <w:rFonts w:hint="eastAsia" w:ascii="仿宋_GB2312" w:eastAsia="仿宋_GB2312"/>
        </w:rPr>
        <w:t>七、一般公共预算财政拨款“三公”经费支出决算表</w:t>
      </w:r>
    </w:p>
    <w:p>
      <w:pPr>
        <w:spacing w:line="580" w:lineRule="exact"/>
        <w:ind w:firstLine="632" w:firstLineChars="200"/>
        <w:rPr>
          <w:rFonts w:hint="eastAsia" w:ascii="仿宋_GB2312" w:eastAsia="仿宋_GB2312"/>
        </w:rPr>
      </w:pPr>
      <w:r>
        <w:rPr>
          <w:rFonts w:hint="eastAsia" w:ascii="仿宋_GB2312" w:eastAsia="仿宋_GB2312"/>
        </w:rPr>
        <w:t>八、政府性基金预算财政拨款收入支出决算表</w:t>
      </w:r>
    </w:p>
    <w:p>
      <w:pPr>
        <w:spacing w:line="580" w:lineRule="exact"/>
        <w:ind w:firstLine="632" w:firstLineChars="200"/>
        <w:rPr>
          <w:rFonts w:hint="eastAsia" w:ascii="仿宋_GB2312" w:eastAsia="仿宋_GB2312"/>
        </w:rPr>
      </w:pPr>
      <w:r>
        <w:rPr>
          <w:rFonts w:hint="eastAsia" w:ascii="仿宋_GB2312" w:eastAsia="仿宋_GB2312"/>
        </w:rPr>
        <w:t>九、国有资本经营预算财政拨款支出决算表</w:t>
      </w:r>
    </w:p>
    <w:p>
      <w:pPr>
        <w:spacing w:line="580" w:lineRule="exact"/>
        <w:ind w:firstLine="316" w:firstLineChars="100"/>
        <w:rPr>
          <w:rFonts w:hint="eastAsia" w:ascii="黑体" w:hAnsi="黑体" w:eastAsia="黑体"/>
        </w:rPr>
      </w:pPr>
      <w:r>
        <w:rPr>
          <w:rFonts w:hint="eastAsia" w:ascii="黑体" w:hAnsi="黑体" w:eastAsia="黑体"/>
        </w:rPr>
        <w:t>第三部分  2021年度单位决算情况说明</w:t>
      </w:r>
    </w:p>
    <w:p>
      <w:pPr>
        <w:spacing w:line="580" w:lineRule="exact"/>
        <w:ind w:firstLine="632" w:firstLineChars="200"/>
        <w:rPr>
          <w:rFonts w:hint="eastAsia" w:ascii="仿宋_GB2312" w:eastAsia="仿宋_GB2312"/>
        </w:rPr>
      </w:pPr>
      <w:r>
        <w:rPr>
          <w:rFonts w:hint="eastAsia" w:ascii="仿宋_GB2312" w:eastAsia="仿宋_GB2312"/>
        </w:rPr>
        <w:t>一、收入支出决算总体情况说明</w:t>
      </w:r>
    </w:p>
    <w:p>
      <w:pPr>
        <w:spacing w:line="580" w:lineRule="exact"/>
        <w:ind w:firstLine="632" w:firstLineChars="200"/>
        <w:rPr>
          <w:rFonts w:hint="eastAsia" w:ascii="仿宋_GB2312" w:eastAsia="仿宋_GB2312"/>
        </w:rPr>
      </w:pPr>
      <w:r>
        <w:rPr>
          <w:rFonts w:hint="eastAsia" w:ascii="仿宋_GB2312" w:eastAsia="仿宋_GB2312"/>
        </w:rPr>
        <w:t>二、收入决算情况说明</w:t>
      </w:r>
    </w:p>
    <w:p>
      <w:pPr>
        <w:spacing w:line="580" w:lineRule="exact"/>
        <w:ind w:firstLine="632" w:firstLineChars="200"/>
        <w:rPr>
          <w:rFonts w:hint="eastAsia" w:ascii="仿宋_GB2312" w:eastAsia="仿宋_GB2312"/>
        </w:rPr>
      </w:pPr>
      <w:r>
        <w:rPr>
          <w:rFonts w:hint="eastAsia" w:ascii="仿宋_GB2312" w:eastAsia="仿宋_GB2312"/>
        </w:rPr>
        <w:t>三、支出决算情况说明</w:t>
      </w:r>
    </w:p>
    <w:p>
      <w:pPr>
        <w:spacing w:line="580" w:lineRule="exact"/>
        <w:ind w:firstLine="632" w:firstLineChars="200"/>
        <w:rPr>
          <w:rFonts w:hint="eastAsia" w:ascii="仿宋_GB2312" w:eastAsia="仿宋_GB2312"/>
        </w:rPr>
      </w:pPr>
      <w:r>
        <w:rPr>
          <w:rFonts w:hint="eastAsia" w:ascii="仿宋_GB2312" w:eastAsia="仿宋_GB2312"/>
        </w:rPr>
        <w:t>四、财政拨款收入支出决算总体情况说明</w:t>
      </w:r>
    </w:p>
    <w:p>
      <w:pPr>
        <w:spacing w:line="580" w:lineRule="exact"/>
        <w:ind w:firstLine="632" w:firstLineChars="200"/>
        <w:rPr>
          <w:rFonts w:hint="eastAsia" w:ascii="仿宋_GB2312" w:eastAsia="仿宋_GB2312"/>
        </w:rPr>
      </w:pPr>
      <w:r>
        <w:rPr>
          <w:rFonts w:hint="eastAsia" w:ascii="仿宋_GB2312" w:eastAsia="仿宋_GB2312"/>
        </w:rPr>
        <w:t>五、一般公共预算财政拨款支出决算情况说明</w:t>
      </w:r>
    </w:p>
    <w:p>
      <w:pPr>
        <w:spacing w:line="580" w:lineRule="exact"/>
        <w:ind w:firstLine="632" w:firstLineChars="200"/>
        <w:rPr>
          <w:rFonts w:hint="eastAsia" w:ascii="仿宋_GB2312" w:eastAsia="仿宋_GB2312"/>
        </w:rPr>
      </w:pPr>
      <w:r>
        <w:rPr>
          <w:rFonts w:hint="eastAsia" w:ascii="仿宋_GB2312" w:eastAsia="仿宋_GB2312"/>
        </w:rPr>
        <w:t>六、一般公共预算财政拨款基本支出决算情况说明</w:t>
      </w:r>
    </w:p>
    <w:p>
      <w:pPr>
        <w:spacing w:line="580" w:lineRule="exact"/>
        <w:ind w:firstLine="632" w:firstLineChars="200"/>
        <w:rPr>
          <w:rFonts w:hint="eastAsia" w:ascii="仿宋_GB2312" w:eastAsia="仿宋_GB2312"/>
        </w:rPr>
      </w:pPr>
      <w:r>
        <w:rPr>
          <w:rFonts w:hint="eastAsia" w:ascii="仿宋_GB2312" w:eastAsia="仿宋_GB2312"/>
        </w:rPr>
        <w:t>七、一般公共预算财政拨款“三公”经费支出决算情况说明</w:t>
      </w:r>
    </w:p>
    <w:p>
      <w:pPr>
        <w:spacing w:line="580" w:lineRule="exact"/>
        <w:ind w:firstLine="632" w:firstLineChars="200"/>
        <w:rPr>
          <w:rFonts w:hint="eastAsia" w:ascii="仿宋_GB2312" w:eastAsia="仿宋_GB2312"/>
        </w:rPr>
      </w:pPr>
      <w:r>
        <w:rPr>
          <w:rFonts w:hint="eastAsia" w:ascii="仿宋_GB2312" w:eastAsia="仿宋_GB2312"/>
        </w:rPr>
        <w:t>八、政府性基金预算财政拨款收入支出决算情况说明</w:t>
      </w:r>
    </w:p>
    <w:p>
      <w:pPr>
        <w:spacing w:line="580" w:lineRule="exact"/>
        <w:ind w:firstLine="632" w:firstLineChars="200"/>
        <w:rPr>
          <w:rFonts w:hint="eastAsia" w:ascii="仿宋_GB2312" w:eastAsia="仿宋_GB2312"/>
        </w:rPr>
      </w:pPr>
      <w:r>
        <w:rPr>
          <w:rFonts w:hint="eastAsia" w:ascii="仿宋_GB2312" w:eastAsia="仿宋_GB2312"/>
        </w:rPr>
        <w:t>九、国有资本经营预算财政拨款支出决算情况说明</w:t>
      </w:r>
    </w:p>
    <w:p>
      <w:pPr>
        <w:spacing w:line="580" w:lineRule="exact"/>
        <w:ind w:firstLine="632" w:firstLineChars="200"/>
        <w:rPr>
          <w:rFonts w:hint="eastAsia" w:ascii="仿宋_GB2312" w:eastAsia="仿宋_GB2312"/>
        </w:rPr>
      </w:pPr>
      <w:r>
        <w:rPr>
          <w:rFonts w:hint="eastAsia" w:ascii="仿宋_GB2312" w:eastAsia="仿宋_GB2312"/>
        </w:rPr>
        <w:t>十、其他重要事项情况说明</w:t>
      </w:r>
    </w:p>
    <w:p>
      <w:pPr>
        <w:spacing w:line="580" w:lineRule="exact"/>
        <w:ind w:firstLine="632" w:firstLineChars="200"/>
        <w:rPr>
          <w:rFonts w:hint="eastAsia" w:ascii="仿宋_GB2312" w:eastAsia="仿宋_GB2312"/>
        </w:rPr>
      </w:pPr>
      <w:r>
        <w:rPr>
          <w:rFonts w:hint="eastAsia" w:ascii="仿宋_GB2312" w:eastAsia="仿宋_GB2312"/>
        </w:rPr>
        <w:t>十一、预算绩效情况说明</w:t>
      </w:r>
    </w:p>
    <w:p>
      <w:pPr>
        <w:spacing w:line="580" w:lineRule="exact"/>
        <w:ind w:firstLine="316" w:firstLineChars="100"/>
        <w:rPr>
          <w:rFonts w:hint="eastAsia" w:ascii="黑体" w:hAnsi="黑体" w:eastAsia="黑体"/>
        </w:rPr>
      </w:pPr>
      <w:r>
        <w:rPr>
          <w:rFonts w:hint="eastAsia" w:ascii="黑体" w:hAnsi="黑体" w:eastAsia="黑体"/>
        </w:rPr>
        <w:t>第四部分  名词解释</w:t>
      </w:r>
    </w:p>
    <w:p>
      <w:pPr>
        <w:spacing w:line="580" w:lineRule="exact"/>
        <w:ind w:firstLine="316" w:firstLineChars="100"/>
        <w:rPr>
          <w:rFonts w:hint="eastAsia" w:ascii="黑体" w:hAnsi="黑体" w:eastAsia="黑体"/>
          <w:sz w:val="21"/>
          <w:szCs w:val="21"/>
        </w:rPr>
      </w:pPr>
      <w:r>
        <w:rPr>
          <w:rFonts w:hint="eastAsia" w:ascii="黑体" w:hAnsi="黑体" w:eastAsia="黑体"/>
        </w:rPr>
        <w:t xml:space="preserve">第五部分  附件    </w:t>
      </w:r>
    </w:p>
    <w:p>
      <w:pPr>
        <w:spacing w:line="580" w:lineRule="exact"/>
        <w:ind w:firstLine="316" w:firstLineChars="100"/>
        <w:rPr>
          <w:rFonts w:hint="eastAsia" w:ascii="黑体" w:hAnsi="黑体" w:eastAsia="黑体"/>
        </w:rPr>
      </w:pPr>
    </w:p>
    <w:p>
      <w:pPr>
        <w:spacing w:line="580" w:lineRule="exact"/>
        <w:ind w:firstLine="316" w:firstLineChars="100"/>
        <w:rPr>
          <w:rFonts w:hint="eastAsia" w:ascii="黑体" w:hAnsi="黑体" w:eastAsia="黑体"/>
        </w:rPr>
      </w:pPr>
    </w:p>
    <w:p>
      <w:pPr>
        <w:spacing w:line="580" w:lineRule="exact"/>
        <w:ind w:firstLine="316" w:firstLineChars="100"/>
        <w:rPr>
          <w:rFonts w:hint="eastAsia" w:ascii="黑体" w:hAnsi="黑体" w:eastAsia="黑体"/>
        </w:rPr>
      </w:pPr>
    </w:p>
    <w:p>
      <w:pPr>
        <w:jc w:val="center"/>
        <w:rPr>
          <w:rFonts w:hint="eastAsia" w:ascii="方正小标宋简体" w:eastAsia="方正小标宋简体"/>
          <w:sz w:val="42"/>
        </w:rPr>
      </w:pPr>
    </w:p>
    <w:p>
      <w:pPr>
        <w:jc w:val="center"/>
        <w:rPr>
          <w:rFonts w:hint="eastAsia" w:ascii="方正小标宋简体" w:eastAsia="方正小标宋简体"/>
          <w:sz w:val="42"/>
        </w:rPr>
      </w:pPr>
    </w:p>
    <w:p>
      <w:pPr>
        <w:jc w:val="center"/>
        <w:rPr>
          <w:rFonts w:hint="eastAsia" w:ascii="方正小标宋简体" w:eastAsia="方正小标宋简体"/>
          <w:sz w:val="42"/>
        </w:rPr>
      </w:pPr>
    </w:p>
    <w:p>
      <w:pPr>
        <w:jc w:val="center"/>
        <w:rPr>
          <w:rFonts w:hint="eastAsia" w:ascii="方正小标宋简体" w:eastAsia="方正小标宋简体"/>
          <w:sz w:val="42"/>
        </w:rPr>
      </w:pPr>
    </w:p>
    <w:p>
      <w:pPr>
        <w:rPr>
          <w:rFonts w:hint="eastAsia" w:ascii="方正小标宋简体" w:eastAsia="方正小标宋简体"/>
          <w:sz w:val="42"/>
        </w:rPr>
      </w:pPr>
    </w:p>
    <w:p>
      <w:pPr>
        <w:rPr>
          <w:rFonts w:hint="eastAsia" w:ascii="方正小标宋简体" w:eastAsia="方正小标宋简体"/>
          <w:sz w:val="42"/>
        </w:rPr>
      </w:pPr>
    </w:p>
    <w:p>
      <w:pPr>
        <w:rPr>
          <w:rFonts w:hint="eastAsia" w:ascii="方正小标宋简体" w:eastAsia="方正小标宋简体"/>
          <w:sz w:val="42"/>
        </w:rPr>
      </w:pPr>
    </w:p>
    <w:p>
      <w:pPr>
        <w:rPr>
          <w:rFonts w:hint="eastAsia" w:ascii="方正小标宋简体" w:eastAsia="方正小标宋简体"/>
          <w:sz w:val="42"/>
        </w:rPr>
      </w:pPr>
    </w:p>
    <w:p>
      <w:pPr>
        <w:rPr>
          <w:rFonts w:hint="eastAsia" w:ascii="方正小标宋简体" w:eastAsia="方正小标宋简体"/>
          <w:sz w:val="42"/>
        </w:rPr>
      </w:pPr>
    </w:p>
    <w:p>
      <w:pPr>
        <w:rPr>
          <w:rFonts w:hint="eastAsia" w:ascii="方正小标宋简体" w:eastAsia="方正小标宋简体"/>
          <w:sz w:val="42"/>
        </w:rPr>
      </w:pPr>
    </w:p>
    <w:p>
      <w:pPr>
        <w:rPr>
          <w:rFonts w:hint="eastAsia" w:ascii="方正小标宋简体" w:eastAsia="方正小标宋简体"/>
          <w:sz w:val="42"/>
        </w:rPr>
      </w:pPr>
    </w:p>
    <w:p>
      <w:pPr>
        <w:rPr>
          <w:rFonts w:hint="eastAsia" w:ascii="方正小标宋简体" w:eastAsia="方正小标宋简体"/>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r>
        <w:rPr>
          <w:rFonts w:hint="eastAsia" w:ascii="方正小标宋简体" w:eastAsia="方正小标宋简体"/>
          <w:spacing w:val="60"/>
          <w:sz w:val="42"/>
        </w:rPr>
        <w:t>第一部分</w:t>
      </w:r>
    </w:p>
    <w:p>
      <w:pPr>
        <w:jc w:val="center"/>
        <w:rPr>
          <w:rFonts w:hint="eastAsia" w:ascii="方正小标宋简体" w:eastAsia="方正小标宋简体"/>
          <w:spacing w:val="60"/>
          <w:sz w:val="48"/>
        </w:rPr>
      </w:pPr>
    </w:p>
    <w:p>
      <w:pPr>
        <w:jc w:val="center"/>
        <w:rPr>
          <w:rFonts w:hint="eastAsia" w:ascii="方正小标宋简体" w:eastAsia="方正小标宋简体"/>
          <w:spacing w:val="60"/>
          <w:sz w:val="48"/>
        </w:rPr>
      </w:pPr>
      <w:r>
        <w:rPr>
          <w:rFonts w:hint="eastAsia" w:ascii="方正小标宋简体" w:eastAsia="方正小标宋简体"/>
          <w:spacing w:val="60"/>
          <w:sz w:val="48"/>
        </w:rPr>
        <w:t>单位概况</w:t>
      </w:r>
    </w:p>
    <w:p>
      <w:pPr>
        <w:jc w:val="center"/>
        <w:rPr>
          <w:rFonts w:hint="eastAsia" w:ascii="仿宋_GB2312" w:eastAsia="仿宋_GB2312"/>
        </w:rPr>
        <w:sectPr>
          <w:footerReference r:id="rId6" w:type="default"/>
          <w:pgSz w:w="11906" w:h="16838"/>
          <w:pgMar w:top="1701" w:right="1531" w:bottom="1701" w:left="1531" w:header="0" w:footer="1418" w:gutter="0"/>
          <w:pgNumType w:fmt="numberInDash" w:start="1"/>
          <w:cols w:space="720" w:num="1"/>
          <w:docGrid w:type="linesAndChars" w:linePitch="610" w:charSpace="-849"/>
        </w:sectPr>
      </w:pPr>
    </w:p>
    <w:p>
      <w:pPr>
        <w:spacing w:line="580" w:lineRule="exact"/>
        <w:ind w:firstLine="632" w:firstLineChars="200"/>
        <w:jc w:val="both"/>
        <w:rPr>
          <w:rFonts w:hint="eastAsia" w:ascii="黑体" w:hAnsi="黑体" w:eastAsia="黑体" w:cs="黑体"/>
          <w:sz w:val="32"/>
        </w:rPr>
      </w:pPr>
      <w:r>
        <w:rPr>
          <w:rFonts w:hint="eastAsia" w:ascii="黑体" w:hAnsi="黑体" w:eastAsia="黑体" w:cs="黑体"/>
          <w:sz w:val="32"/>
        </w:rPr>
        <w:t>一、</w:t>
      </w:r>
      <w:r>
        <w:rPr>
          <w:rFonts w:hint="eastAsia" w:ascii="黑体" w:hAnsi="黑体" w:eastAsia="黑体" w:cs="黑体"/>
          <w:sz w:val="32"/>
          <w:szCs w:val="32"/>
          <w:lang w:eastAsia="zh-CN"/>
        </w:rPr>
        <w:t>单位职责</w:t>
      </w:r>
    </w:p>
    <w:p>
      <w:pPr>
        <w:ind w:firstLine="632" w:firstLineChars="200"/>
        <w:rPr>
          <w:rFonts w:hint="eastAsia" w:ascii="仿宋" w:hAnsi="仿宋" w:eastAsia="仿宋"/>
          <w:sz w:val="32"/>
          <w:szCs w:val="32"/>
          <w:lang w:eastAsia="zh-CN"/>
        </w:rPr>
      </w:pPr>
      <w:r>
        <w:rPr>
          <w:rFonts w:hint="eastAsia" w:ascii="仿宋" w:hAnsi="仿宋" w:eastAsia="仿宋"/>
          <w:sz w:val="32"/>
          <w:szCs w:val="32"/>
        </w:rPr>
        <w:t>泰安市社会福利院和泰安市儿童福利院是一个机构两块牌子，是我市唯一一所综合性社会福利服务机构，占地60余亩，分别在“东岳大街111号社会福利院”和“灵山大街东段儿童福利院”两处院落办公。主要职责是</w:t>
      </w:r>
      <w:r>
        <w:rPr>
          <w:rFonts w:hint="eastAsia" w:ascii="仿宋" w:hAnsi="仿宋" w:eastAsia="仿宋"/>
          <w:sz w:val="32"/>
          <w:szCs w:val="32"/>
          <w:lang w:eastAsia="zh-CN"/>
        </w:rPr>
        <w:t>：</w:t>
      </w:r>
    </w:p>
    <w:p>
      <w:pPr>
        <w:numPr>
          <w:ilvl w:val="0"/>
          <w:numId w:val="1"/>
        </w:numPr>
        <w:ind w:firstLine="632" w:firstLineChars="200"/>
        <w:rPr>
          <w:rFonts w:hint="eastAsia" w:ascii="仿宋" w:hAnsi="仿宋" w:eastAsia="仿宋"/>
          <w:color w:val="auto"/>
          <w:sz w:val="32"/>
          <w:szCs w:val="32"/>
          <w:lang w:eastAsia="zh-CN"/>
        </w:rPr>
      </w:pPr>
      <w:r>
        <w:rPr>
          <w:rFonts w:hint="eastAsia" w:ascii="仿宋" w:hAnsi="仿宋" w:eastAsia="仿宋"/>
          <w:color w:val="auto"/>
          <w:sz w:val="32"/>
          <w:szCs w:val="32"/>
        </w:rPr>
        <w:t>对城市中无依无靠、无家可归、无生活来源的孤寡老人和弃婴、残疾人员提供生活护理、医疗康复</w:t>
      </w:r>
      <w:r>
        <w:rPr>
          <w:rFonts w:hint="eastAsia" w:ascii="仿宋" w:hAnsi="仿宋" w:eastAsia="仿宋"/>
          <w:color w:val="auto"/>
          <w:sz w:val="32"/>
          <w:szCs w:val="32"/>
          <w:lang w:eastAsia="zh-CN"/>
        </w:rPr>
        <w:t>服务。</w:t>
      </w:r>
    </w:p>
    <w:p>
      <w:pPr>
        <w:numPr>
          <w:ilvl w:val="0"/>
          <w:numId w:val="1"/>
        </w:numPr>
        <w:ind w:firstLine="632" w:firstLineChars="200"/>
        <w:rPr>
          <w:rFonts w:hint="eastAsia" w:ascii="仿宋" w:hAnsi="仿宋" w:eastAsia="仿宋"/>
          <w:color w:val="auto"/>
          <w:sz w:val="32"/>
          <w:szCs w:val="32"/>
        </w:rPr>
      </w:pPr>
      <w:r>
        <w:rPr>
          <w:rFonts w:hint="eastAsia" w:ascii="仿宋" w:hAnsi="仿宋" w:eastAsia="仿宋"/>
          <w:color w:val="auto"/>
          <w:sz w:val="32"/>
          <w:szCs w:val="32"/>
        </w:rPr>
        <w:t>对城市中无依无靠、无家可归、无生活来源的孤寡老人和弃婴、残疾人员</w:t>
      </w:r>
      <w:r>
        <w:rPr>
          <w:rFonts w:hint="eastAsia" w:ascii="仿宋" w:hAnsi="仿宋" w:eastAsia="仿宋"/>
          <w:color w:val="auto"/>
          <w:sz w:val="32"/>
          <w:szCs w:val="32"/>
          <w:lang w:eastAsia="zh-CN"/>
        </w:rPr>
        <w:t>提供</w:t>
      </w:r>
      <w:r>
        <w:rPr>
          <w:rFonts w:hint="eastAsia" w:ascii="仿宋" w:hAnsi="仿宋" w:eastAsia="仿宋"/>
          <w:color w:val="auto"/>
          <w:sz w:val="32"/>
          <w:szCs w:val="32"/>
        </w:rPr>
        <w:t>特殊教育</w:t>
      </w:r>
      <w:r>
        <w:rPr>
          <w:rFonts w:hint="eastAsia" w:ascii="仿宋" w:hAnsi="仿宋" w:eastAsia="仿宋"/>
          <w:color w:val="auto"/>
          <w:sz w:val="32"/>
          <w:szCs w:val="32"/>
          <w:lang w:eastAsia="zh-CN"/>
        </w:rPr>
        <w:t>、</w:t>
      </w:r>
      <w:r>
        <w:rPr>
          <w:rFonts w:hint="eastAsia" w:ascii="仿宋" w:hAnsi="仿宋" w:eastAsia="仿宋"/>
          <w:color w:val="auto"/>
          <w:sz w:val="32"/>
          <w:szCs w:val="32"/>
        </w:rPr>
        <w:t>集中供养服务。</w:t>
      </w:r>
    </w:p>
    <w:p>
      <w:pPr>
        <w:spacing w:line="580" w:lineRule="exact"/>
        <w:ind w:firstLine="632" w:firstLineChars="200"/>
        <w:rPr>
          <w:rFonts w:hint="eastAsia" w:ascii="黑体" w:hAnsi="黑体" w:eastAsia="黑体"/>
          <w:sz w:val="32"/>
          <w:lang w:eastAsia="zh-CN"/>
        </w:rPr>
      </w:pPr>
      <w:r>
        <w:rPr>
          <w:rFonts w:hint="eastAsia" w:ascii="黑体" w:hAnsi="黑体" w:eastAsia="黑体"/>
          <w:sz w:val="32"/>
        </w:rPr>
        <w:t>二、</w:t>
      </w:r>
      <w:r>
        <w:rPr>
          <w:rFonts w:hint="eastAsia" w:ascii="黑体" w:hAnsi="黑体" w:eastAsia="黑体"/>
          <w:sz w:val="32"/>
          <w:lang w:eastAsia="zh-CN"/>
        </w:rPr>
        <w:t>机构设置</w:t>
      </w:r>
    </w:p>
    <w:p>
      <w:pPr>
        <w:ind w:firstLine="632"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本单位为泰安市民政局二级预算单位，无下属单位。单位设立下列内设机构，分别为：</w:t>
      </w:r>
    </w:p>
    <w:p>
      <w:pPr>
        <w:numPr>
          <w:ilvl w:val="0"/>
          <w:numId w:val="2"/>
        </w:numPr>
        <w:ind w:firstLine="632" w:firstLineChars="200"/>
        <w:rPr>
          <w:rFonts w:hint="eastAsia" w:ascii="仿宋" w:hAnsi="仿宋" w:eastAsia="仿宋"/>
          <w:color w:val="auto"/>
          <w:sz w:val="32"/>
          <w:szCs w:val="32"/>
        </w:rPr>
      </w:pPr>
      <w:r>
        <w:rPr>
          <w:rFonts w:hint="eastAsia" w:ascii="仿宋" w:hAnsi="仿宋" w:eastAsia="仿宋"/>
          <w:color w:val="auto"/>
          <w:sz w:val="32"/>
          <w:szCs w:val="32"/>
        </w:rPr>
        <w:t>办公室</w:t>
      </w:r>
    </w:p>
    <w:p>
      <w:pPr>
        <w:numPr>
          <w:ilvl w:val="0"/>
          <w:numId w:val="2"/>
        </w:numPr>
        <w:ind w:firstLine="632" w:firstLineChars="200"/>
        <w:rPr>
          <w:rFonts w:ascii="仿宋" w:hAnsi="仿宋" w:eastAsia="仿宋"/>
          <w:color w:val="auto"/>
          <w:sz w:val="32"/>
          <w:szCs w:val="32"/>
        </w:rPr>
      </w:pPr>
      <w:r>
        <w:rPr>
          <w:rFonts w:hint="eastAsia" w:ascii="仿宋" w:hAnsi="仿宋" w:eastAsia="仿宋"/>
          <w:color w:val="auto"/>
          <w:sz w:val="32"/>
          <w:szCs w:val="32"/>
        </w:rPr>
        <w:t>财务科</w:t>
      </w:r>
    </w:p>
    <w:p>
      <w:pPr>
        <w:numPr>
          <w:ilvl w:val="0"/>
          <w:numId w:val="2"/>
        </w:numPr>
        <w:ind w:firstLine="632" w:firstLineChars="200"/>
        <w:rPr>
          <w:rFonts w:ascii="仿宋" w:hAnsi="仿宋" w:eastAsia="仿宋"/>
          <w:color w:val="auto"/>
          <w:sz w:val="32"/>
          <w:szCs w:val="32"/>
        </w:rPr>
      </w:pPr>
      <w:r>
        <w:rPr>
          <w:rFonts w:hint="eastAsia" w:ascii="仿宋" w:hAnsi="仿宋" w:eastAsia="仿宋"/>
          <w:color w:val="auto"/>
          <w:sz w:val="32"/>
          <w:szCs w:val="32"/>
        </w:rPr>
        <w:t>总务科</w:t>
      </w:r>
    </w:p>
    <w:p>
      <w:pPr>
        <w:numPr>
          <w:ilvl w:val="0"/>
          <w:numId w:val="2"/>
        </w:numPr>
        <w:ind w:firstLine="632" w:firstLineChars="200"/>
        <w:rPr>
          <w:rFonts w:ascii="仿宋" w:hAnsi="仿宋" w:eastAsia="仿宋"/>
          <w:color w:val="auto"/>
          <w:sz w:val="32"/>
          <w:szCs w:val="32"/>
        </w:rPr>
      </w:pPr>
      <w:r>
        <w:rPr>
          <w:rFonts w:hint="eastAsia" w:ascii="仿宋" w:hAnsi="仿宋" w:eastAsia="仿宋"/>
          <w:color w:val="auto"/>
          <w:sz w:val="32"/>
          <w:szCs w:val="32"/>
        </w:rPr>
        <w:t>医护科</w:t>
      </w:r>
    </w:p>
    <w:p>
      <w:pPr>
        <w:numPr>
          <w:ilvl w:val="0"/>
          <w:numId w:val="2"/>
        </w:numPr>
        <w:ind w:firstLine="632" w:firstLineChars="200"/>
        <w:rPr>
          <w:rFonts w:ascii="仿宋" w:hAnsi="仿宋" w:eastAsia="仿宋"/>
          <w:color w:val="auto"/>
          <w:sz w:val="32"/>
          <w:szCs w:val="32"/>
        </w:rPr>
      </w:pPr>
      <w:r>
        <w:rPr>
          <w:rFonts w:hint="eastAsia" w:ascii="仿宋" w:hAnsi="仿宋" w:eastAsia="仿宋"/>
          <w:color w:val="auto"/>
          <w:sz w:val="32"/>
          <w:szCs w:val="32"/>
        </w:rPr>
        <w:t>老年护理部</w:t>
      </w:r>
    </w:p>
    <w:p>
      <w:pPr>
        <w:numPr>
          <w:ilvl w:val="0"/>
          <w:numId w:val="2"/>
        </w:numPr>
        <w:ind w:firstLine="632" w:firstLineChars="200"/>
        <w:rPr>
          <w:rFonts w:ascii="仿宋" w:hAnsi="仿宋" w:eastAsia="仿宋"/>
          <w:color w:val="auto"/>
          <w:sz w:val="32"/>
          <w:szCs w:val="32"/>
        </w:rPr>
      </w:pPr>
      <w:r>
        <w:rPr>
          <w:rFonts w:hint="eastAsia" w:ascii="仿宋" w:hAnsi="仿宋" w:eastAsia="仿宋"/>
          <w:color w:val="auto"/>
          <w:sz w:val="32"/>
          <w:szCs w:val="32"/>
        </w:rPr>
        <w:t>儿童康教部</w:t>
      </w:r>
    </w:p>
    <w:p>
      <w:pPr>
        <w:numPr>
          <w:ilvl w:val="0"/>
          <w:numId w:val="2"/>
        </w:numPr>
        <w:ind w:firstLine="632" w:firstLineChars="200"/>
        <w:rPr>
          <w:rFonts w:ascii="仿宋" w:hAnsi="仿宋" w:eastAsia="仿宋"/>
          <w:color w:val="auto"/>
          <w:sz w:val="32"/>
          <w:szCs w:val="32"/>
        </w:rPr>
      </w:pPr>
      <w:r>
        <w:rPr>
          <w:rFonts w:hint="eastAsia" w:ascii="仿宋" w:hAnsi="仿宋" w:eastAsia="仿宋"/>
          <w:color w:val="auto"/>
          <w:sz w:val="32"/>
          <w:szCs w:val="32"/>
        </w:rPr>
        <w:t>智残管理部</w:t>
      </w:r>
    </w:p>
    <w:p>
      <w:pPr>
        <w:jc w:val="center"/>
        <w:rPr>
          <w:rFonts w:hint="eastAsia" w:ascii="方正小标宋简体" w:eastAsia="方正小标宋简体"/>
          <w:sz w:val="42"/>
        </w:rPr>
      </w:pPr>
    </w:p>
    <w:p>
      <w:pPr>
        <w:jc w:val="center"/>
        <w:rPr>
          <w:rFonts w:hint="eastAsia" w:ascii="方正小标宋简体" w:eastAsia="方正小标宋简体"/>
          <w:sz w:val="42"/>
        </w:rPr>
      </w:pPr>
    </w:p>
    <w:p>
      <w:pPr>
        <w:jc w:val="center"/>
        <w:rPr>
          <w:rFonts w:hint="eastAsia" w:ascii="方正小标宋简体" w:eastAsia="方正小标宋简体"/>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bookmarkStart w:id="0" w:name="_GoBack"/>
      <w:bookmarkEnd w:id="0"/>
      <w:r>
        <w:rPr>
          <w:rFonts w:hint="eastAsia" w:ascii="方正小标宋简体" w:eastAsia="方正小标宋简体"/>
          <w:spacing w:val="60"/>
          <w:sz w:val="42"/>
        </w:rPr>
        <w:t>第二部分</w:t>
      </w:r>
    </w:p>
    <w:p>
      <w:pPr>
        <w:jc w:val="center"/>
        <w:rPr>
          <w:rFonts w:hint="eastAsia" w:ascii="方正小标宋简体" w:eastAsia="方正小标宋简体"/>
          <w:spacing w:val="60"/>
          <w:sz w:val="42"/>
        </w:rPr>
      </w:pPr>
    </w:p>
    <w:p>
      <w:pPr>
        <w:jc w:val="center"/>
        <w:rPr>
          <w:rFonts w:hint="eastAsia" w:ascii="方正小标宋简体" w:eastAsia="方正小标宋简体"/>
          <w:spacing w:val="60"/>
          <w:sz w:val="42"/>
        </w:rPr>
      </w:pPr>
      <w:r>
        <w:rPr>
          <w:rFonts w:hint="eastAsia" w:ascii="方正小标宋简体" w:eastAsia="方正小标宋简体"/>
          <w:spacing w:val="60"/>
          <w:sz w:val="48"/>
        </w:rPr>
        <w:t>2021年度单位决算表</w:t>
      </w:r>
    </w:p>
    <w:p>
      <w:pPr>
        <w:spacing w:line="520" w:lineRule="exact"/>
        <w:rPr>
          <w:rFonts w:hint="eastAsia" w:ascii="仿宋_GB2312" w:eastAsia="仿宋_GB2312"/>
          <w:b/>
          <w:sz w:val="28"/>
          <w:szCs w:val="28"/>
        </w:rPr>
      </w:pPr>
    </w:p>
    <w:p>
      <w:pPr>
        <w:spacing w:line="440" w:lineRule="exact"/>
        <w:ind w:firstLine="552" w:firstLineChars="200"/>
        <w:rPr>
          <w:rFonts w:hint="eastAsia" w:ascii="仿宋_GB2312" w:eastAsia="仿宋_GB2312"/>
          <w:b/>
          <w:sz w:val="28"/>
          <w:szCs w:val="28"/>
        </w:rPr>
      </w:pPr>
      <w:r>
        <w:rPr>
          <w:rFonts w:hint="eastAsia" w:ascii="仿宋_GB2312" w:eastAsia="仿宋_GB2312"/>
          <w:b/>
          <w:sz w:val="28"/>
          <w:szCs w:val="28"/>
        </w:rPr>
        <w:t xml:space="preserve">  </w:t>
      </w:r>
    </w:p>
    <w:p>
      <w:pPr>
        <w:jc w:val="center"/>
        <w:rPr>
          <w:rFonts w:hint="eastAsia" w:ascii="方正小标宋简体" w:eastAsia="方正小标宋简体"/>
          <w:spacing w:val="60"/>
          <w:sz w:val="42"/>
        </w:rPr>
        <w:sectPr>
          <w:pgSz w:w="11906" w:h="16838"/>
          <w:pgMar w:top="1701" w:right="1531" w:bottom="1701" w:left="1531" w:header="0" w:footer="1418" w:gutter="0"/>
          <w:pgNumType w:fmt="numberInDash"/>
          <w:cols w:space="720" w:num="1"/>
          <w:docGrid w:type="linesAndChars" w:linePitch="610" w:charSpace="-849"/>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收入支出决算总表</w:t>
      </w:r>
    </w:p>
    <w:p>
      <w:pPr>
        <w:wordWrap w:val="0"/>
        <w:spacing w:line="400" w:lineRule="exact"/>
        <w:jc w:val="right"/>
        <w:rPr>
          <w:rFonts w:hint="eastAsia" w:ascii="楷体_GB2312" w:eastAsia="楷体_GB2312"/>
          <w:sz w:val="28"/>
          <w:szCs w:val="28"/>
        </w:rPr>
      </w:pPr>
      <w:r>
        <w:rPr>
          <w:rFonts w:hint="eastAsia" w:ascii="楷体_GB2312" w:eastAsia="楷体_GB2312"/>
          <w:sz w:val="28"/>
          <w:szCs w:val="28"/>
        </w:rPr>
        <w:t xml:space="preserve"> 公开01表</w:t>
      </w:r>
    </w:p>
    <w:p>
      <w:pPr>
        <w:wordWrap w:val="0"/>
        <w:spacing w:line="400" w:lineRule="exact"/>
        <w:rPr>
          <w:rFonts w:hint="eastAsia" w:ascii="楷体_GB2312" w:eastAsia="楷体_GB2312"/>
          <w:sz w:val="28"/>
          <w:szCs w:val="28"/>
        </w:rPr>
      </w:pPr>
      <w:r>
        <w:rPr>
          <w:rFonts w:hint="eastAsia" w:ascii="楷体_GB2312" w:eastAsia="楷体_GB2312"/>
          <w:sz w:val="28"/>
          <w:szCs w:val="28"/>
        </w:rPr>
        <w:t>单位：泰安市社会福利院（泰安市儿童福利院）        金额单位：万元</w:t>
      </w:r>
    </w:p>
    <w:tbl>
      <w:tblPr>
        <w:tblStyle w:val="10"/>
        <w:tblW w:w="0" w:type="auto"/>
        <w:tblInd w:w="0" w:type="dxa"/>
        <w:tblLayout w:type="fixed"/>
        <w:tblCellMar>
          <w:top w:w="0" w:type="dxa"/>
          <w:left w:w="108" w:type="dxa"/>
          <w:bottom w:w="0" w:type="dxa"/>
          <w:right w:w="108" w:type="dxa"/>
        </w:tblCellMar>
      </w:tblPr>
      <w:tblGrid>
        <w:gridCol w:w="3045"/>
        <w:gridCol w:w="599"/>
        <w:gridCol w:w="883"/>
        <w:gridCol w:w="2850"/>
        <w:gridCol w:w="683"/>
        <w:gridCol w:w="995"/>
      </w:tblGrid>
      <w:tr>
        <w:tblPrEx>
          <w:tblCellMar>
            <w:top w:w="0" w:type="dxa"/>
            <w:left w:w="108" w:type="dxa"/>
            <w:bottom w:w="0" w:type="dxa"/>
            <w:right w:w="108" w:type="dxa"/>
          </w:tblCellMar>
        </w:tblPrEx>
        <w:trPr>
          <w:trHeight w:val="329" w:hRule="exact"/>
        </w:trPr>
        <w:tc>
          <w:tcPr>
            <w:tcW w:w="452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收 入</w:t>
            </w:r>
          </w:p>
        </w:tc>
        <w:tc>
          <w:tcPr>
            <w:tcW w:w="4528" w:type="dxa"/>
            <w:gridSpan w:val="3"/>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支 出</w:t>
            </w:r>
          </w:p>
        </w:tc>
      </w:tr>
      <w:tr>
        <w:tblPrEx>
          <w:tblCellMar>
            <w:top w:w="0" w:type="dxa"/>
            <w:left w:w="108" w:type="dxa"/>
            <w:bottom w:w="0" w:type="dxa"/>
            <w:right w:w="108" w:type="dxa"/>
          </w:tblCellMar>
        </w:tblPrEx>
        <w:trPr>
          <w:trHeight w:val="37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项  目</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行次</w:t>
            </w:r>
          </w:p>
        </w:tc>
        <w:tc>
          <w:tcPr>
            <w:tcW w:w="88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金额</w:t>
            </w:r>
          </w:p>
        </w:tc>
        <w:tc>
          <w:tcPr>
            <w:tcW w:w="285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项  目</w:t>
            </w:r>
          </w:p>
        </w:tc>
        <w:tc>
          <w:tcPr>
            <w:tcW w:w="683" w:type="dxa"/>
            <w:tcBorders>
              <w:top w:val="nil"/>
              <w:left w:val="single" w:color="auto" w:sz="4" w:space="0"/>
              <w:bottom w:val="single" w:color="auto" w:sz="4" w:space="0"/>
              <w:right w:val="nil"/>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行次</w:t>
            </w:r>
          </w:p>
        </w:tc>
        <w:tc>
          <w:tcPr>
            <w:tcW w:w="995"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金额</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栏  次</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88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1</w:t>
            </w:r>
          </w:p>
        </w:tc>
        <w:tc>
          <w:tcPr>
            <w:tcW w:w="285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栏  次</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p>
        </w:tc>
        <w:tc>
          <w:tcPr>
            <w:tcW w:w="99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sz w:val="18"/>
                <w:szCs w:val="18"/>
              </w:rPr>
              <w:t>2</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一、一般公共预算财政拨款收入</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1</w:t>
            </w:r>
          </w:p>
        </w:tc>
        <w:tc>
          <w:tcPr>
            <w:tcW w:w="883" w:type="dxa"/>
            <w:tcBorders>
              <w:top w:val="nil"/>
              <w:left w:val="nil"/>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1676.68</w:t>
            </w: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一、一般公共服务支出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31</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二、政府性基金预算财政拨款收入</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2</w:t>
            </w:r>
          </w:p>
        </w:tc>
        <w:tc>
          <w:tcPr>
            <w:tcW w:w="883" w:type="dxa"/>
            <w:tcBorders>
              <w:top w:val="nil"/>
              <w:left w:val="nil"/>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524.11</w:t>
            </w: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二、外交支出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32</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34"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三、国有资本经营预算财政拨款收入</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3</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三、国防支出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33</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02"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四、上级补助收入</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4</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四、公共安全支出</w:t>
            </w:r>
          </w:p>
        </w:tc>
        <w:tc>
          <w:tcPr>
            <w:tcW w:w="683" w:type="dxa"/>
            <w:tcBorders>
              <w:top w:val="nil"/>
              <w:left w:val="single" w:color="auto" w:sz="4" w:space="0"/>
              <w:bottom w:val="single" w:color="auto" w:sz="4" w:space="0"/>
              <w:right w:val="nil"/>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34</w:t>
            </w:r>
          </w:p>
        </w:tc>
        <w:tc>
          <w:tcPr>
            <w:tcW w:w="99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五、事业收入</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5</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五、教育支出</w:t>
            </w:r>
          </w:p>
        </w:tc>
        <w:tc>
          <w:tcPr>
            <w:tcW w:w="683" w:type="dxa"/>
            <w:tcBorders>
              <w:top w:val="nil"/>
              <w:left w:val="single" w:color="auto" w:sz="4" w:space="0"/>
              <w:bottom w:val="single" w:color="auto" w:sz="4" w:space="0"/>
              <w:right w:val="nil"/>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35</w:t>
            </w:r>
          </w:p>
        </w:tc>
        <w:tc>
          <w:tcPr>
            <w:tcW w:w="99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六、经营收入</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6</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六、科学技术支出</w:t>
            </w:r>
          </w:p>
        </w:tc>
        <w:tc>
          <w:tcPr>
            <w:tcW w:w="683" w:type="dxa"/>
            <w:tcBorders>
              <w:top w:val="nil"/>
              <w:left w:val="single" w:color="auto" w:sz="4" w:space="0"/>
              <w:bottom w:val="single" w:color="auto" w:sz="4" w:space="0"/>
              <w:right w:val="nil"/>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36</w:t>
            </w:r>
          </w:p>
        </w:tc>
        <w:tc>
          <w:tcPr>
            <w:tcW w:w="99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七、附属单位上缴收入</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7</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七、文化旅游体育与传媒支出</w:t>
            </w:r>
          </w:p>
        </w:tc>
        <w:tc>
          <w:tcPr>
            <w:tcW w:w="683" w:type="dxa"/>
            <w:tcBorders>
              <w:top w:val="nil"/>
              <w:left w:val="single" w:color="auto" w:sz="4" w:space="0"/>
              <w:bottom w:val="single" w:color="auto" w:sz="4" w:space="0"/>
              <w:right w:val="nil"/>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37</w:t>
            </w:r>
          </w:p>
        </w:tc>
        <w:tc>
          <w:tcPr>
            <w:tcW w:w="99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八、其他收入</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8</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八、社会保障和就业支出</w:t>
            </w:r>
          </w:p>
        </w:tc>
        <w:tc>
          <w:tcPr>
            <w:tcW w:w="683" w:type="dxa"/>
            <w:tcBorders>
              <w:top w:val="nil"/>
              <w:left w:val="single" w:color="auto" w:sz="4" w:space="0"/>
              <w:bottom w:val="single" w:color="auto" w:sz="4" w:space="0"/>
              <w:right w:val="nil"/>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38</w:t>
            </w:r>
          </w:p>
        </w:tc>
        <w:tc>
          <w:tcPr>
            <w:tcW w:w="99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1821.23</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9</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九、卫生健康支出</w:t>
            </w:r>
          </w:p>
        </w:tc>
        <w:tc>
          <w:tcPr>
            <w:tcW w:w="683" w:type="dxa"/>
            <w:tcBorders>
              <w:top w:val="nil"/>
              <w:left w:val="single" w:color="auto" w:sz="4" w:space="0"/>
              <w:bottom w:val="single" w:color="auto" w:sz="4" w:space="0"/>
              <w:right w:val="nil"/>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39</w:t>
            </w:r>
          </w:p>
        </w:tc>
        <w:tc>
          <w:tcPr>
            <w:tcW w:w="99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64.43</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10</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十、节能环保支出</w:t>
            </w:r>
          </w:p>
        </w:tc>
        <w:tc>
          <w:tcPr>
            <w:tcW w:w="683" w:type="dxa"/>
            <w:tcBorders>
              <w:top w:val="nil"/>
              <w:left w:val="single" w:color="auto" w:sz="4" w:space="0"/>
              <w:bottom w:val="single" w:color="auto" w:sz="4" w:space="0"/>
              <w:right w:val="nil"/>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40</w:t>
            </w:r>
          </w:p>
        </w:tc>
        <w:tc>
          <w:tcPr>
            <w:tcW w:w="99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11</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十一、城乡社区支出</w:t>
            </w:r>
          </w:p>
        </w:tc>
        <w:tc>
          <w:tcPr>
            <w:tcW w:w="683" w:type="dxa"/>
            <w:tcBorders>
              <w:top w:val="nil"/>
              <w:left w:val="single" w:color="auto" w:sz="4" w:space="0"/>
              <w:bottom w:val="single" w:color="auto" w:sz="4" w:space="0"/>
              <w:right w:val="nil"/>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41</w:t>
            </w:r>
          </w:p>
        </w:tc>
        <w:tc>
          <w:tcPr>
            <w:tcW w:w="99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12</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十二、农林水支出</w:t>
            </w:r>
          </w:p>
        </w:tc>
        <w:tc>
          <w:tcPr>
            <w:tcW w:w="683" w:type="dxa"/>
            <w:tcBorders>
              <w:top w:val="nil"/>
              <w:left w:val="single" w:color="auto" w:sz="4" w:space="0"/>
              <w:bottom w:val="single" w:color="auto" w:sz="4" w:space="0"/>
              <w:right w:val="nil"/>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42</w:t>
            </w:r>
          </w:p>
        </w:tc>
        <w:tc>
          <w:tcPr>
            <w:tcW w:w="99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13</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十三、交通运输支出</w:t>
            </w:r>
          </w:p>
        </w:tc>
        <w:tc>
          <w:tcPr>
            <w:tcW w:w="683" w:type="dxa"/>
            <w:tcBorders>
              <w:top w:val="nil"/>
              <w:left w:val="single" w:color="auto" w:sz="4" w:space="0"/>
              <w:bottom w:val="single" w:color="auto" w:sz="4" w:space="0"/>
              <w:right w:val="nil"/>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43</w:t>
            </w:r>
          </w:p>
        </w:tc>
        <w:tc>
          <w:tcPr>
            <w:tcW w:w="99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14</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十四、资源勘探工业信息等支出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44</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15</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十五、商业服务业等支出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45</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16</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十六、金融支出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46</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17</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十七、援助其他地区支出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47</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18</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十八、自然资源海洋气象等支出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48</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19</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十九、住房保障支出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49</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20</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二十、粮油物资储备支出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50</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21</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二十一、国有资本经营预算支出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51</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22</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二十二、灾害防治及应急管理支出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52</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23</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二十三、其他支出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53</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592.69</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24</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二十四、债务还本支出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54</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25</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二十五、债务付息支出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55</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26</w:t>
            </w:r>
          </w:p>
        </w:tc>
        <w:tc>
          <w:tcPr>
            <w:tcW w:w="883"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二十六、抗疫特别国债安排的支出</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ascii="仿宋_GB2312" w:eastAsia="仿宋_GB2312"/>
                <w:sz w:val="18"/>
                <w:szCs w:val="18"/>
              </w:rPr>
              <w:t>56</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bCs/>
                <w:sz w:val="18"/>
                <w:szCs w:val="18"/>
              </w:rPr>
            </w:pPr>
            <w:r>
              <w:rPr>
                <w:rFonts w:hint="eastAsia" w:ascii="仿宋_GB2312" w:eastAsia="仿宋_GB2312"/>
                <w:b/>
                <w:bCs/>
                <w:sz w:val="18"/>
                <w:szCs w:val="18"/>
              </w:rPr>
              <w:t>本年收入合计</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bCs/>
                <w:sz w:val="18"/>
                <w:szCs w:val="18"/>
              </w:rPr>
            </w:pPr>
            <w:r>
              <w:rPr>
                <w:rFonts w:hint="eastAsia" w:ascii="仿宋_GB2312" w:eastAsia="仿宋_GB2312"/>
                <w:sz w:val="18"/>
                <w:szCs w:val="18"/>
              </w:rPr>
              <w:t>27</w:t>
            </w:r>
          </w:p>
        </w:tc>
        <w:tc>
          <w:tcPr>
            <w:tcW w:w="88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b/>
                <w:bCs/>
                <w:sz w:val="18"/>
                <w:szCs w:val="18"/>
              </w:rPr>
            </w:pPr>
            <w:r>
              <w:rPr>
                <w:rFonts w:hint="eastAsia" w:ascii="仿宋_GB2312" w:eastAsia="仿宋_GB2312"/>
                <w:sz w:val="18"/>
                <w:szCs w:val="18"/>
              </w:rPr>
              <w:t>2277.53</w:t>
            </w:r>
          </w:p>
        </w:tc>
        <w:tc>
          <w:tcPr>
            <w:tcW w:w="285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b/>
                <w:bCs/>
                <w:sz w:val="18"/>
                <w:szCs w:val="18"/>
              </w:rPr>
            </w:pPr>
            <w:r>
              <w:rPr>
                <w:rFonts w:hint="eastAsia" w:ascii="仿宋_GB2312" w:eastAsia="仿宋_GB2312"/>
                <w:b/>
                <w:bCs/>
                <w:sz w:val="18"/>
                <w:szCs w:val="18"/>
              </w:rPr>
              <w:t>本年支出合计</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57</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2482.39</w:t>
            </w: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使用非财政拨款结余</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28</w:t>
            </w:r>
          </w:p>
        </w:tc>
        <w:tc>
          <w:tcPr>
            <w:tcW w:w="883" w:type="dxa"/>
            <w:tcBorders>
              <w:top w:val="nil"/>
              <w:left w:val="nil"/>
              <w:bottom w:val="single" w:color="auto" w:sz="4" w:space="0"/>
              <w:right w:val="single" w:color="auto" w:sz="4" w:space="0"/>
            </w:tcBorders>
            <w:noWrap w:val="0"/>
            <w:vAlign w:val="center"/>
          </w:tcPr>
          <w:p>
            <w:pPr>
              <w:spacing w:line="240" w:lineRule="exact"/>
              <w:rPr>
                <w:rFonts w:ascii="仿宋_GB2312" w:eastAsia="仿宋_GB2312"/>
                <w:sz w:val="18"/>
                <w:szCs w:val="18"/>
              </w:rPr>
            </w:pPr>
          </w:p>
        </w:tc>
        <w:tc>
          <w:tcPr>
            <w:tcW w:w="2850" w:type="dxa"/>
            <w:tcBorders>
              <w:top w:val="nil"/>
              <w:left w:val="nil"/>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结余分配</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58</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年初结转和结余</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29</w:t>
            </w:r>
          </w:p>
        </w:tc>
        <w:tc>
          <w:tcPr>
            <w:tcW w:w="883" w:type="dxa"/>
            <w:tcBorders>
              <w:top w:val="nil"/>
              <w:left w:val="nil"/>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204.86</w:t>
            </w:r>
          </w:p>
        </w:tc>
        <w:tc>
          <w:tcPr>
            <w:tcW w:w="2850"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年末结转和结余</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59</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p>
        </w:tc>
      </w:tr>
      <w:tr>
        <w:tblPrEx>
          <w:tblCellMar>
            <w:top w:w="0" w:type="dxa"/>
            <w:left w:w="108" w:type="dxa"/>
            <w:bottom w:w="0"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b/>
                <w:bCs/>
                <w:sz w:val="18"/>
                <w:szCs w:val="18"/>
              </w:rPr>
              <w:t>总计</w:t>
            </w:r>
          </w:p>
        </w:tc>
        <w:tc>
          <w:tcPr>
            <w:tcW w:w="599"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30</w:t>
            </w:r>
          </w:p>
        </w:tc>
        <w:tc>
          <w:tcPr>
            <w:tcW w:w="883" w:type="dxa"/>
            <w:tcBorders>
              <w:top w:val="nil"/>
              <w:left w:val="nil"/>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2482.36</w:t>
            </w:r>
          </w:p>
        </w:tc>
        <w:tc>
          <w:tcPr>
            <w:tcW w:w="2850"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eastAsia="仿宋_GB2312"/>
                <w:sz w:val="18"/>
                <w:szCs w:val="18"/>
              </w:rPr>
            </w:pPr>
            <w:r>
              <w:rPr>
                <w:rFonts w:hint="eastAsia" w:ascii="仿宋_GB2312" w:eastAsia="仿宋_GB2312"/>
                <w:b/>
                <w:bCs/>
                <w:sz w:val="18"/>
                <w:szCs w:val="18"/>
              </w:rPr>
              <w:t>总计</w:t>
            </w:r>
          </w:p>
        </w:tc>
        <w:tc>
          <w:tcPr>
            <w:tcW w:w="683" w:type="dxa"/>
            <w:tcBorders>
              <w:top w:val="nil"/>
              <w:left w:val="nil"/>
              <w:bottom w:val="single" w:color="auto" w:sz="4" w:space="0"/>
              <w:right w:val="single" w:color="auto" w:sz="4" w:space="0"/>
            </w:tcBorders>
            <w:noWrap w:val="0"/>
            <w:vAlign w:val="center"/>
          </w:tcPr>
          <w:p>
            <w:pPr>
              <w:spacing w:line="240" w:lineRule="exact"/>
              <w:jc w:val="center"/>
              <w:rPr>
                <w:rFonts w:ascii="仿宋_GB2312" w:eastAsia="仿宋_GB2312"/>
                <w:sz w:val="18"/>
                <w:szCs w:val="18"/>
              </w:rPr>
            </w:pPr>
            <w:r>
              <w:rPr>
                <w:rFonts w:hint="eastAsia" w:ascii="仿宋_GB2312" w:eastAsia="仿宋_GB2312"/>
                <w:sz w:val="18"/>
                <w:szCs w:val="18"/>
              </w:rPr>
              <w:t>60</w:t>
            </w:r>
          </w:p>
        </w:tc>
        <w:tc>
          <w:tcPr>
            <w:tcW w:w="995" w:type="dxa"/>
            <w:tcBorders>
              <w:top w:val="nil"/>
              <w:left w:val="nil"/>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2482.39</w:t>
            </w:r>
          </w:p>
        </w:tc>
      </w:tr>
    </w:tbl>
    <w:p>
      <w:pPr>
        <w:ind w:firstLine="88" w:firstLineChars="50"/>
        <w:rPr>
          <w:rFonts w:ascii="楷体_GB2312" w:eastAsia="楷体_GB2312"/>
          <w:sz w:val="28"/>
          <w:szCs w:val="28"/>
        </w:rPr>
        <w:sectPr>
          <w:pgSz w:w="11906" w:h="16838"/>
          <w:pgMar w:top="1701" w:right="1531" w:bottom="1701" w:left="1531" w:header="0" w:footer="1418" w:gutter="0"/>
          <w:pgNumType w:fmt="numberInDash"/>
          <w:cols w:space="720" w:num="1"/>
          <w:docGrid w:type="linesAndChars" w:linePitch="610" w:charSpace="-849"/>
        </w:sectPr>
      </w:pPr>
      <w:r>
        <w:rPr>
          <w:rFonts w:hint="eastAsia" w:ascii="仿宋_GB2312" w:hAnsi="宋体" w:eastAsia="仿宋_GB2312"/>
          <w:sz w:val="18"/>
          <w:szCs w:val="18"/>
        </w:rPr>
        <w:t>注：1.本表反映单位本年度的总收支和年末结转结余情况。2.本套报表金额单位转换时可能存在尾数误差。</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收入决算表</w:t>
      </w:r>
    </w:p>
    <w:p>
      <w:pPr>
        <w:wordWrap w:val="0"/>
        <w:spacing w:line="400" w:lineRule="exact"/>
        <w:jc w:val="right"/>
        <w:rPr>
          <w:rFonts w:hint="eastAsia" w:ascii="楷体_GB2312" w:eastAsia="楷体_GB2312"/>
          <w:sz w:val="28"/>
          <w:szCs w:val="28"/>
        </w:rPr>
      </w:pPr>
      <w:r>
        <w:rPr>
          <w:rFonts w:hint="eastAsia" w:ascii="楷体_GB2312" w:eastAsia="楷体_GB2312"/>
          <w:sz w:val="28"/>
          <w:szCs w:val="28"/>
        </w:rPr>
        <w:t xml:space="preserve"> 公开02表 </w:t>
      </w:r>
    </w:p>
    <w:p>
      <w:pPr>
        <w:tabs>
          <w:tab w:val="left" w:pos="13467"/>
        </w:tabs>
        <w:wordWrap w:val="0"/>
        <w:spacing w:line="400" w:lineRule="exact"/>
        <w:ind w:right="107"/>
        <w:jc w:val="center"/>
        <w:rPr>
          <w:rFonts w:hint="eastAsia" w:ascii="楷体_GB2312" w:eastAsia="楷体_GB2312"/>
          <w:sz w:val="28"/>
          <w:szCs w:val="28"/>
        </w:rPr>
      </w:pPr>
      <w:r>
        <w:rPr>
          <w:rFonts w:hint="eastAsia" w:ascii="楷体_GB2312" w:eastAsia="楷体_GB2312"/>
          <w:sz w:val="28"/>
          <w:szCs w:val="28"/>
        </w:rPr>
        <w:t xml:space="preserve">单位：泰安市社会福利院（泰安市儿童福利院）                    </w:t>
      </w:r>
      <w:r>
        <w:rPr>
          <w:rFonts w:ascii="楷体_GB2312" w:eastAsia="楷体_GB2312"/>
          <w:sz w:val="28"/>
          <w:szCs w:val="28"/>
        </w:rPr>
        <w:t xml:space="preserve">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金额单位：万元</w:t>
      </w:r>
    </w:p>
    <w:tbl>
      <w:tblPr>
        <w:tblStyle w:val="10"/>
        <w:tblW w:w="0" w:type="auto"/>
        <w:jc w:val="center"/>
        <w:tblLayout w:type="fixed"/>
        <w:tblCellMar>
          <w:top w:w="0" w:type="dxa"/>
          <w:left w:w="108" w:type="dxa"/>
          <w:bottom w:w="0" w:type="dxa"/>
          <w:right w:w="108" w:type="dxa"/>
        </w:tblCellMar>
      </w:tblPr>
      <w:tblGrid>
        <w:gridCol w:w="1296"/>
        <w:gridCol w:w="110"/>
        <w:gridCol w:w="3161"/>
        <w:gridCol w:w="1183"/>
        <w:gridCol w:w="1233"/>
        <w:gridCol w:w="1234"/>
        <w:gridCol w:w="1316"/>
        <w:gridCol w:w="1334"/>
        <w:gridCol w:w="1466"/>
        <w:gridCol w:w="1100"/>
      </w:tblGrid>
      <w:tr>
        <w:tblPrEx>
          <w:tblCellMar>
            <w:top w:w="0" w:type="dxa"/>
            <w:left w:w="108" w:type="dxa"/>
            <w:bottom w:w="0" w:type="dxa"/>
            <w:right w:w="108" w:type="dxa"/>
          </w:tblCellMar>
        </w:tblPrEx>
        <w:trPr>
          <w:trHeight w:val="458" w:hRule="atLeast"/>
          <w:jc w:val="center"/>
        </w:trPr>
        <w:tc>
          <w:tcPr>
            <w:tcW w:w="4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1183"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本年收入合计</w:t>
            </w:r>
          </w:p>
        </w:tc>
        <w:tc>
          <w:tcPr>
            <w:tcW w:w="1233"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财政拨款收入</w:t>
            </w:r>
          </w:p>
        </w:tc>
        <w:tc>
          <w:tcPr>
            <w:tcW w:w="1234"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上级补助收入</w:t>
            </w:r>
          </w:p>
        </w:tc>
        <w:tc>
          <w:tcPr>
            <w:tcW w:w="1316" w:type="dxa"/>
            <w:vMerge w:val="restart"/>
            <w:tcBorders>
              <w:top w:val="single" w:color="auto" w:sz="4" w:space="0"/>
              <w:left w:val="single" w:color="auto" w:sz="4" w:space="0"/>
              <w:right w:val="single" w:color="auto" w:sz="4" w:space="0"/>
            </w:tcBorders>
            <w:noWrap w:val="0"/>
            <w:vAlign w:val="center"/>
          </w:tcPr>
          <w:p>
            <w:pPr>
              <w:widowControl/>
              <w:spacing w:line="300" w:lineRule="exact"/>
              <w:ind w:firstLine="216" w:firstLineChars="100"/>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事业收入</w:t>
            </w:r>
          </w:p>
        </w:tc>
        <w:tc>
          <w:tcPr>
            <w:tcW w:w="1334"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经营收入</w:t>
            </w:r>
          </w:p>
        </w:tc>
        <w:tc>
          <w:tcPr>
            <w:tcW w:w="1466" w:type="dxa"/>
            <w:vMerge w:val="restart"/>
            <w:tcBorders>
              <w:top w:val="single" w:color="auto" w:sz="4" w:space="0"/>
              <w:left w:val="single" w:color="auto" w:sz="4" w:space="0"/>
              <w:right w:val="single" w:color="auto" w:sz="4" w:space="0"/>
            </w:tcBorders>
            <w:noWrap w:val="0"/>
            <w:vAlign w:val="center"/>
          </w:tcPr>
          <w:p>
            <w:pPr>
              <w:widowControl/>
              <w:spacing w:line="300" w:lineRule="exact"/>
              <w:ind w:left="648" w:hanging="648" w:hangingChars="300"/>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附属单位    </w:t>
            </w:r>
          </w:p>
          <w:p>
            <w:pPr>
              <w:widowControl/>
              <w:spacing w:line="300" w:lineRule="exact"/>
              <w:ind w:left="648" w:hanging="648" w:hangingChars="300"/>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上缴收入</w:t>
            </w:r>
          </w:p>
        </w:tc>
        <w:tc>
          <w:tcPr>
            <w:tcW w:w="1100"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其他收入</w:t>
            </w:r>
          </w:p>
        </w:tc>
      </w:tr>
      <w:tr>
        <w:tblPrEx>
          <w:tblCellMar>
            <w:top w:w="0" w:type="dxa"/>
            <w:left w:w="108" w:type="dxa"/>
            <w:bottom w:w="0" w:type="dxa"/>
            <w:right w:w="108" w:type="dxa"/>
          </w:tblCellMar>
        </w:tblPrEx>
        <w:trPr>
          <w:trHeight w:val="457" w:hRule="atLeast"/>
          <w:jc w:val="center"/>
        </w:trPr>
        <w:tc>
          <w:tcPr>
            <w:tcW w:w="1406"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  科目编码</w:t>
            </w:r>
          </w:p>
        </w:tc>
        <w:tc>
          <w:tcPr>
            <w:tcW w:w="316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183"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233"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234"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316" w:type="dxa"/>
            <w:vMerge w:val="continue"/>
            <w:tcBorders>
              <w:left w:val="single" w:color="auto" w:sz="4" w:space="0"/>
              <w:right w:val="single" w:color="auto" w:sz="4" w:space="0"/>
            </w:tcBorders>
            <w:noWrap w:val="0"/>
            <w:vAlign w:val="center"/>
          </w:tcPr>
          <w:p>
            <w:pPr>
              <w:widowControl/>
              <w:spacing w:line="300" w:lineRule="exact"/>
              <w:ind w:firstLine="216" w:firstLineChars="100"/>
              <w:rPr>
                <w:rFonts w:hint="eastAsia" w:ascii="仿宋_GB2312" w:hAnsi="宋体" w:eastAsia="仿宋_GB2312" w:cs="宋体"/>
                <w:kern w:val="0"/>
                <w:sz w:val="22"/>
                <w:szCs w:val="22"/>
              </w:rPr>
            </w:pPr>
          </w:p>
        </w:tc>
        <w:tc>
          <w:tcPr>
            <w:tcW w:w="1334"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466" w:type="dxa"/>
            <w:vMerge w:val="continue"/>
            <w:tcBorders>
              <w:left w:val="single" w:color="auto" w:sz="4" w:space="0"/>
              <w:right w:val="single" w:color="auto" w:sz="4" w:space="0"/>
            </w:tcBorders>
            <w:noWrap w:val="0"/>
            <w:vAlign w:val="center"/>
          </w:tcPr>
          <w:p>
            <w:pPr>
              <w:widowControl/>
              <w:spacing w:line="300" w:lineRule="exact"/>
              <w:ind w:left="648" w:hanging="648" w:hangingChars="300"/>
              <w:jc w:val="center"/>
              <w:rPr>
                <w:rFonts w:hint="eastAsia" w:ascii="仿宋_GB2312" w:hAnsi="宋体" w:eastAsia="仿宋_GB2312" w:cs="宋体"/>
                <w:kern w:val="0"/>
                <w:sz w:val="22"/>
                <w:szCs w:val="22"/>
              </w:rPr>
            </w:pPr>
          </w:p>
        </w:tc>
        <w:tc>
          <w:tcPr>
            <w:tcW w:w="1100"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jc w:val="center"/>
        </w:trPr>
        <w:tc>
          <w:tcPr>
            <w:tcW w:w="4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w:t>
            </w:r>
          </w:p>
        </w:tc>
      </w:tr>
      <w:tr>
        <w:tblPrEx>
          <w:tblCellMar>
            <w:top w:w="0" w:type="dxa"/>
            <w:left w:w="108" w:type="dxa"/>
            <w:bottom w:w="0" w:type="dxa"/>
            <w:right w:w="108" w:type="dxa"/>
          </w:tblCellMar>
        </w:tblPrEx>
        <w:trPr>
          <w:trHeight w:val="397" w:hRule="atLeast"/>
          <w:jc w:val="center"/>
        </w:trPr>
        <w:tc>
          <w:tcPr>
            <w:tcW w:w="456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2,277.53</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2,200.79</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cs="宋体"/>
                <w:kern w:val="0"/>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cs="宋体"/>
                <w:kern w:val="0"/>
                <w:sz w:val="22"/>
                <w:szCs w:val="22"/>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cs="宋体"/>
                <w:kern w:val="0"/>
                <w:sz w:val="22"/>
                <w:szCs w:val="22"/>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76.74</w:t>
            </w: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w:t>
            </w:r>
          </w:p>
        </w:tc>
        <w:tc>
          <w:tcPr>
            <w:tcW w:w="3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社会保障和就业支出</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1,684.95</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1,608.21</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76.74</w:t>
            </w: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20805</w:t>
            </w:r>
          </w:p>
        </w:tc>
        <w:tc>
          <w:tcPr>
            <w:tcW w:w="3271" w:type="dxa"/>
            <w:gridSpan w:val="2"/>
            <w:tcBorders>
              <w:top w:val="nil"/>
              <w:left w:val="nil"/>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行政事业单位养老支出</w:t>
            </w:r>
          </w:p>
        </w:tc>
        <w:tc>
          <w:tcPr>
            <w:tcW w:w="11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71.74</w:t>
            </w:r>
          </w:p>
        </w:tc>
        <w:tc>
          <w:tcPr>
            <w:tcW w:w="123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71.74</w:t>
            </w:r>
          </w:p>
        </w:tc>
        <w:tc>
          <w:tcPr>
            <w:tcW w:w="1234"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31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334"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46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10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2080505</w:t>
            </w:r>
          </w:p>
        </w:tc>
        <w:tc>
          <w:tcPr>
            <w:tcW w:w="3271"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机关事业单位基本养老保险缴费支出</w:t>
            </w:r>
          </w:p>
        </w:tc>
        <w:tc>
          <w:tcPr>
            <w:tcW w:w="11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65.61</w:t>
            </w:r>
          </w:p>
        </w:tc>
        <w:tc>
          <w:tcPr>
            <w:tcW w:w="123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65.61</w:t>
            </w:r>
          </w:p>
        </w:tc>
        <w:tc>
          <w:tcPr>
            <w:tcW w:w="12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1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6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0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2080506</w:t>
            </w:r>
          </w:p>
        </w:tc>
        <w:tc>
          <w:tcPr>
            <w:tcW w:w="3271"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机关事业单位职业年金缴费支出</w:t>
            </w:r>
          </w:p>
        </w:tc>
        <w:tc>
          <w:tcPr>
            <w:tcW w:w="11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6.12</w:t>
            </w:r>
          </w:p>
        </w:tc>
        <w:tc>
          <w:tcPr>
            <w:tcW w:w="123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6.12</w:t>
            </w:r>
          </w:p>
        </w:tc>
        <w:tc>
          <w:tcPr>
            <w:tcW w:w="12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1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46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10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84" w:hRule="atLeast"/>
          <w:jc w:val="center"/>
        </w:trPr>
        <w:tc>
          <w:tcPr>
            <w:tcW w:w="129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20808</w:t>
            </w:r>
          </w:p>
        </w:tc>
        <w:tc>
          <w:tcPr>
            <w:tcW w:w="3271"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抚恤</w:t>
            </w:r>
          </w:p>
        </w:tc>
        <w:tc>
          <w:tcPr>
            <w:tcW w:w="11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5.54</w:t>
            </w:r>
          </w:p>
        </w:tc>
        <w:tc>
          <w:tcPr>
            <w:tcW w:w="123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5.54</w:t>
            </w:r>
          </w:p>
        </w:tc>
        <w:tc>
          <w:tcPr>
            <w:tcW w:w="12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1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46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10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2080801</w:t>
            </w:r>
          </w:p>
        </w:tc>
        <w:tc>
          <w:tcPr>
            <w:tcW w:w="3271"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死亡抚恤</w:t>
            </w:r>
          </w:p>
        </w:tc>
        <w:tc>
          <w:tcPr>
            <w:tcW w:w="11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5.54</w:t>
            </w:r>
          </w:p>
        </w:tc>
        <w:tc>
          <w:tcPr>
            <w:tcW w:w="123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5.54</w:t>
            </w:r>
          </w:p>
        </w:tc>
        <w:tc>
          <w:tcPr>
            <w:tcW w:w="12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1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46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10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20810</w:t>
            </w:r>
          </w:p>
        </w:tc>
        <w:tc>
          <w:tcPr>
            <w:tcW w:w="3271"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社会福利</w:t>
            </w:r>
          </w:p>
        </w:tc>
        <w:tc>
          <w:tcPr>
            <w:tcW w:w="11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1,603.16</w:t>
            </w:r>
          </w:p>
        </w:tc>
        <w:tc>
          <w:tcPr>
            <w:tcW w:w="123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1,526.42</w:t>
            </w:r>
          </w:p>
        </w:tc>
        <w:tc>
          <w:tcPr>
            <w:tcW w:w="12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1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46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10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76.74</w:t>
            </w: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2081001</w:t>
            </w:r>
          </w:p>
        </w:tc>
        <w:tc>
          <w:tcPr>
            <w:tcW w:w="3271"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儿童福利</w:t>
            </w:r>
          </w:p>
        </w:tc>
        <w:tc>
          <w:tcPr>
            <w:tcW w:w="11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91.00</w:t>
            </w:r>
          </w:p>
        </w:tc>
        <w:tc>
          <w:tcPr>
            <w:tcW w:w="123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91.00</w:t>
            </w:r>
          </w:p>
        </w:tc>
        <w:tc>
          <w:tcPr>
            <w:tcW w:w="12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1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6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0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2081005</w:t>
            </w:r>
          </w:p>
        </w:tc>
        <w:tc>
          <w:tcPr>
            <w:tcW w:w="3271"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社会福利事业单位</w:t>
            </w:r>
          </w:p>
        </w:tc>
        <w:tc>
          <w:tcPr>
            <w:tcW w:w="11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1,512.16</w:t>
            </w:r>
          </w:p>
        </w:tc>
        <w:tc>
          <w:tcPr>
            <w:tcW w:w="123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1,435.42</w:t>
            </w:r>
          </w:p>
        </w:tc>
        <w:tc>
          <w:tcPr>
            <w:tcW w:w="12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1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46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10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76.74</w:t>
            </w:r>
          </w:p>
        </w:tc>
      </w:tr>
      <w:tr>
        <w:tblPrEx>
          <w:tblCellMar>
            <w:top w:w="0" w:type="dxa"/>
            <w:left w:w="108" w:type="dxa"/>
            <w:bottom w:w="0" w:type="dxa"/>
            <w:right w:w="108" w:type="dxa"/>
          </w:tblCellMar>
        </w:tblPrEx>
        <w:trPr>
          <w:trHeight w:val="397" w:hRule="atLeast"/>
          <w:jc w:val="center"/>
        </w:trPr>
        <w:tc>
          <w:tcPr>
            <w:tcW w:w="1296"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20899</w:t>
            </w:r>
          </w:p>
        </w:tc>
        <w:tc>
          <w:tcPr>
            <w:tcW w:w="3271"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其他社会保障和就业支出</w:t>
            </w:r>
          </w:p>
        </w:tc>
        <w:tc>
          <w:tcPr>
            <w:tcW w:w="11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4.51</w:t>
            </w:r>
          </w:p>
        </w:tc>
        <w:tc>
          <w:tcPr>
            <w:tcW w:w="123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4.51</w:t>
            </w:r>
          </w:p>
        </w:tc>
        <w:tc>
          <w:tcPr>
            <w:tcW w:w="12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1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4"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66"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00"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397" w:hRule="atLeast"/>
          <w:jc w:val="center"/>
        </w:trPr>
        <w:tc>
          <w:tcPr>
            <w:tcW w:w="456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1183" w:type="dxa"/>
            <w:vMerge w:val="restart"/>
            <w:tcBorders>
              <w:top w:val="single" w:color="auto" w:sz="4" w:space="0"/>
              <w:left w:val="nil"/>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本年收入合计</w:t>
            </w:r>
          </w:p>
          <w:p>
            <w:pPr>
              <w:widowControl/>
              <w:spacing w:line="300" w:lineRule="exact"/>
              <w:jc w:val="left"/>
              <w:rPr>
                <w:rFonts w:hint="eastAsia" w:ascii="仿宋_GB2312" w:hAnsi="宋体" w:eastAsia="仿宋_GB2312" w:cs="宋体"/>
                <w:kern w:val="0"/>
                <w:sz w:val="22"/>
                <w:szCs w:val="22"/>
              </w:rPr>
            </w:pPr>
          </w:p>
        </w:tc>
        <w:tc>
          <w:tcPr>
            <w:tcW w:w="1233" w:type="dxa"/>
            <w:vMerge w:val="restart"/>
            <w:tcBorders>
              <w:top w:val="single" w:color="auto" w:sz="4" w:space="0"/>
              <w:left w:val="nil"/>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财政拨款收入</w:t>
            </w:r>
          </w:p>
          <w:p>
            <w:pPr>
              <w:widowControl/>
              <w:spacing w:line="300" w:lineRule="exact"/>
              <w:jc w:val="left"/>
              <w:rPr>
                <w:rFonts w:hint="eastAsia" w:ascii="仿宋_GB2312" w:hAnsi="宋体" w:eastAsia="仿宋_GB2312" w:cs="宋体"/>
                <w:kern w:val="0"/>
                <w:sz w:val="22"/>
                <w:szCs w:val="22"/>
              </w:rPr>
            </w:pPr>
          </w:p>
        </w:tc>
        <w:tc>
          <w:tcPr>
            <w:tcW w:w="1234" w:type="dxa"/>
            <w:vMerge w:val="restart"/>
            <w:tcBorders>
              <w:top w:val="single" w:color="auto" w:sz="4" w:space="0"/>
              <w:left w:val="nil"/>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上级补助收入</w:t>
            </w:r>
          </w:p>
          <w:p>
            <w:pPr>
              <w:widowControl/>
              <w:spacing w:line="300" w:lineRule="exact"/>
              <w:jc w:val="right"/>
              <w:rPr>
                <w:rFonts w:hint="eastAsia" w:ascii="仿宋_GB2312" w:hAnsi="宋体" w:eastAsia="仿宋_GB2312" w:cs="宋体"/>
                <w:kern w:val="0"/>
                <w:sz w:val="22"/>
                <w:szCs w:val="22"/>
              </w:rPr>
            </w:pPr>
          </w:p>
        </w:tc>
        <w:tc>
          <w:tcPr>
            <w:tcW w:w="1316" w:type="dxa"/>
            <w:vMerge w:val="restart"/>
            <w:tcBorders>
              <w:top w:val="single" w:color="auto" w:sz="4" w:space="0"/>
              <w:left w:val="nil"/>
              <w:right w:val="single" w:color="auto" w:sz="4" w:space="0"/>
            </w:tcBorders>
            <w:noWrap w:val="0"/>
            <w:vAlign w:val="center"/>
          </w:tcPr>
          <w:p>
            <w:pPr>
              <w:widowControl/>
              <w:spacing w:line="300" w:lineRule="exact"/>
              <w:ind w:firstLine="216" w:firstLineChars="100"/>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事业收入</w:t>
            </w:r>
          </w:p>
          <w:p>
            <w:pPr>
              <w:widowControl/>
              <w:spacing w:line="300" w:lineRule="exact"/>
              <w:jc w:val="right"/>
              <w:rPr>
                <w:rFonts w:hint="eastAsia" w:ascii="仿宋_GB2312" w:hAnsi="宋体" w:eastAsia="仿宋_GB2312" w:cs="宋体"/>
                <w:kern w:val="0"/>
                <w:sz w:val="22"/>
                <w:szCs w:val="22"/>
              </w:rPr>
            </w:pPr>
          </w:p>
        </w:tc>
        <w:tc>
          <w:tcPr>
            <w:tcW w:w="1334" w:type="dxa"/>
            <w:vMerge w:val="restart"/>
            <w:tcBorders>
              <w:top w:val="single" w:color="auto" w:sz="4" w:space="0"/>
              <w:left w:val="nil"/>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经营收入</w:t>
            </w:r>
          </w:p>
          <w:p>
            <w:pPr>
              <w:widowControl/>
              <w:spacing w:line="300" w:lineRule="exact"/>
              <w:jc w:val="right"/>
              <w:rPr>
                <w:rFonts w:hint="eastAsia" w:ascii="仿宋_GB2312" w:hAnsi="宋体" w:eastAsia="仿宋_GB2312" w:cs="宋体"/>
                <w:kern w:val="0"/>
                <w:sz w:val="22"/>
                <w:szCs w:val="22"/>
              </w:rPr>
            </w:pPr>
          </w:p>
        </w:tc>
        <w:tc>
          <w:tcPr>
            <w:tcW w:w="1466" w:type="dxa"/>
            <w:vMerge w:val="restart"/>
            <w:tcBorders>
              <w:top w:val="single" w:color="auto" w:sz="4" w:space="0"/>
              <w:left w:val="nil"/>
              <w:right w:val="single" w:color="auto" w:sz="4" w:space="0"/>
            </w:tcBorders>
            <w:noWrap w:val="0"/>
            <w:vAlign w:val="center"/>
          </w:tcPr>
          <w:p>
            <w:pPr>
              <w:widowControl/>
              <w:spacing w:line="300" w:lineRule="exact"/>
              <w:ind w:left="648" w:hanging="648" w:hangingChars="300"/>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附属单位    </w:t>
            </w:r>
          </w:p>
          <w:p>
            <w:pPr>
              <w:widowControl/>
              <w:spacing w:line="300" w:lineRule="exact"/>
              <w:ind w:left="648" w:hanging="648" w:hangingChars="300"/>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上缴收入</w:t>
            </w:r>
          </w:p>
          <w:p>
            <w:pPr>
              <w:widowControl/>
              <w:spacing w:line="300" w:lineRule="exact"/>
              <w:jc w:val="right"/>
              <w:rPr>
                <w:rFonts w:hint="eastAsia" w:ascii="仿宋_GB2312" w:hAnsi="宋体" w:eastAsia="仿宋_GB2312" w:cs="宋体"/>
                <w:kern w:val="0"/>
                <w:sz w:val="22"/>
                <w:szCs w:val="22"/>
              </w:rPr>
            </w:pPr>
          </w:p>
        </w:tc>
        <w:tc>
          <w:tcPr>
            <w:tcW w:w="1100" w:type="dxa"/>
            <w:vMerge w:val="restart"/>
            <w:tcBorders>
              <w:top w:val="single" w:color="auto" w:sz="4" w:space="0"/>
              <w:left w:val="nil"/>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其他收入</w:t>
            </w:r>
          </w:p>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功能分类  科目编码</w:t>
            </w:r>
          </w:p>
        </w:tc>
        <w:tc>
          <w:tcPr>
            <w:tcW w:w="3271"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183" w:type="dxa"/>
            <w:vMerge w:val="continue"/>
            <w:tcBorders>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1233" w:type="dxa"/>
            <w:vMerge w:val="continue"/>
            <w:tcBorders>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1234" w:type="dxa"/>
            <w:vMerge w:val="continue"/>
            <w:tcBorders>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16" w:type="dxa"/>
            <w:vMerge w:val="continue"/>
            <w:tcBorders>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4" w:type="dxa"/>
            <w:vMerge w:val="continue"/>
            <w:tcBorders>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466" w:type="dxa"/>
            <w:vMerge w:val="continue"/>
            <w:tcBorders>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100" w:type="dxa"/>
            <w:vMerge w:val="continue"/>
            <w:tcBorders>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jc w:val="center"/>
        </w:trPr>
        <w:tc>
          <w:tcPr>
            <w:tcW w:w="45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w:t>
            </w: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2089999</w:t>
            </w:r>
          </w:p>
        </w:tc>
        <w:tc>
          <w:tcPr>
            <w:tcW w:w="3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其他社会保障和就业支出</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4.51</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4.51</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210</w:t>
            </w:r>
          </w:p>
        </w:tc>
        <w:tc>
          <w:tcPr>
            <w:tcW w:w="3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卫生健康支出</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64.43</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64.43</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21011</w:t>
            </w:r>
          </w:p>
        </w:tc>
        <w:tc>
          <w:tcPr>
            <w:tcW w:w="3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行政事业单位医疗</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64.43</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64.43</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2101102</w:t>
            </w:r>
          </w:p>
        </w:tc>
        <w:tc>
          <w:tcPr>
            <w:tcW w:w="3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事业单位医疗</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39.67</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39.67</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2101103</w:t>
            </w:r>
          </w:p>
        </w:tc>
        <w:tc>
          <w:tcPr>
            <w:tcW w:w="3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公务员医疗补助</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24.76</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24.76</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221</w:t>
            </w:r>
          </w:p>
        </w:tc>
        <w:tc>
          <w:tcPr>
            <w:tcW w:w="3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住房保障支出</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22102</w:t>
            </w:r>
          </w:p>
        </w:tc>
        <w:tc>
          <w:tcPr>
            <w:tcW w:w="3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住房改革支出</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2210201</w:t>
            </w:r>
          </w:p>
        </w:tc>
        <w:tc>
          <w:tcPr>
            <w:tcW w:w="3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住房公积金</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229</w:t>
            </w:r>
          </w:p>
        </w:tc>
        <w:tc>
          <w:tcPr>
            <w:tcW w:w="3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其他支出</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524.11</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524.11</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397" w:hRule="atLeast"/>
          <w:jc w:val="center"/>
        </w:trPr>
        <w:tc>
          <w:tcPr>
            <w:tcW w:w="12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22960</w:t>
            </w:r>
          </w:p>
        </w:tc>
        <w:tc>
          <w:tcPr>
            <w:tcW w:w="32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彩票公益金安排的支出</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524.11</w:t>
            </w:r>
          </w:p>
        </w:tc>
        <w:tc>
          <w:tcPr>
            <w:tcW w:w="12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524.11</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bl>
    <w:p>
      <w:pPr>
        <w:ind w:firstLine="108" w:firstLineChars="50"/>
        <w:rPr>
          <w:rFonts w:hint="eastAsia" w:ascii="仿宋_GB2312" w:hAnsi="宋体" w:eastAsia="仿宋_GB2312"/>
          <w:sz w:val="22"/>
          <w:szCs w:val="22"/>
        </w:rPr>
      </w:pPr>
      <w:r>
        <w:rPr>
          <w:rFonts w:hint="eastAsia" w:ascii="仿宋_GB2312" w:hAnsi="宋体" w:eastAsia="仿宋_GB2312"/>
          <w:sz w:val="22"/>
          <w:szCs w:val="22"/>
        </w:rPr>
        <w:t>注：本表反映单位本年度取得的各项收入情况。</w:t>
      </w:r>
    </w:p>
    <w:p>
      <w:pPr>
        <w:ind w:firstLine="108" w:firstLineChars="50"/>
        <w:rPr>
          <w:rFonts w:hint="eastAsia" w:ascii="仿宋_GB2312" w:hAnsi="宋体" w:eastAsia="仿宋_GB2312"/>
          <w:sz w:val="22"/>
          <w:szCs w:val="22"/>
        </w:rPr>
      </w:pPr>
    </w:p>
    <w:p>
      <w:pPr>
        <w:ind w:firstLine="108" w:firstLineChars="50"/>
        <w:rPr>
          <w:rFonts w:hint="eastAsia" w:ascii="仿宋_GB2312" w:hAnsi="宋体" w:eastAsia="仿宋_GB2312"/>
          <w:sz w:val="22"/>
          <w:szCs w:val="22"/>
        </w:rPr>
      </w:pPr>
    </w:p>
    <w:p>
      <w:pPr>
        <w:rPr>
          <w:rFonts w:hint="eastAsia" w:ascii="仿宋_GB2312" w:hAnsi="宋体" w:eastAsia="仿宋_GB2312"/>
          <w:sz w:val="22"/>
          <w:szCs w:val="22"/>
        </w:rPr>
      </w:pPr>
    </w:p>
    <w:p>
      <w:pPr>
        <w:rPr>
          <w:rFonts w:hint="eastAsia" w:ascii="仿宋_GB2312" w:hAnsi="宋体" w:eastAsia="仿宋_GB2312"/>
          <w:sz w:val="22"/>
          <w:szCs w:val="22"/>
        </w:rPr>
      </w:pPr>
    </w:p>
    <w:p>
      <w:pPr>
        <w:ind w:firstLine="108" w:firstLineChars="50"/>
        <w:rPr>
          <w:rFonts w:hint="eastAsia" w:ascii="仿宋_GB2312" w:hAnsi="宋体" w:eastAsia="仿宋_GB2312"/>
          <w:sz w:val="22"/>
          <w:szCs w:val="22"/>
        </w:rPr>
      </w:pPr>
    </w:p>
    <w:p>
      <w:pPr>
        <w:jc w:val="center"/>
        <w:rPr>
          <w:rFonts w:hint="eastAsia" w:ascii="方正小标宋简体" w:eastAsia="方正小标宋简体"/>
          <w:sz w:val="44"/>
          <w:szCs w:val="44"/>
        </w:rPr>
      </w:pPr>
      <w:r>
        <w:rPr>
          <w:rFonts w:hint="eastAsia" w:ascii="方正小标宋简体" w:eastAsia="方正小标宋简体"/>
          <w:sz w:val="44"/>
          <w:szCs w:val="44"/>
        </w:rPr>
        <w:t>支出决算表</w:t>
      </w:r>
    </w:p>
    <w:p>
      <w:pPr>
        <w:spacing w:line="400" w:lineRule="exact"/>
        <w:jc w:val="right"/>
        <w:rPr>
          <w:rFonts w:hint="eastAsia" w:ascii="楷体_GB2312" w:eastAsia="楷体_GB2312"/>
          <w:sz w:val="28"/>
          <w:szCs w:val="28"/>
        </w:rPr>
      </w:pPr>
      <w:r>
        <w:rPr>
          <w:rFonts w:hint="eastAsia" w:ascii="楷体_GB2312" w:eastAsia="楷体_GB2312"/>
          <w:sz w:val="28"/>
          <w:szCs w:val="28"/>
        </w:rPr>
        <w:t xml:space="preserve">                                                                                   公开03表</w:t>
      </w:r>
    </w:p>
    <w:p>
      <w:pPr>
        <w:wordWrap w:val="0"/>
        <w:spacing w:line="400" w:lineRule="exact"/>
        <w:ind w:firstLine="138" w:firstLineChars="50"/>
        <w:jc w:val="right"/>
        <w:rPr>
          <w:rFonts w:hint="eastAsia" w:ascii="楷体_GB2312" w:eastAsia="楷体_GB2312"/>
          <w:sz w:val="28"/>
          <w:szCs w:val="28"/>
        </w:rPr>
      </w:pPr>
      <w:r>
        <w:rPr>
          <w:rFonts w:hint="eastAsia" w:ascii="楷体_GB2312" w:eastAsia="楷体_GB2312"/>
          <w:sz w:val="28"/>
          <w:szCs w:val="28"/>
        </w:rPr>
        <w:t>单位：泰安市社会福利院（泰安市儿童福利院）                                        金额单位：万元</w:t>
      </w:r>
    </w:p>
    <w:tbl>
      <w:tblPr>
        <w:tblStyle w:val="10"/>
        <w:tblW w:w="0" w:type="auto"/>
        <w:jc w:val="center"/>
        <w:tblLayout w:type="fixed"/>
        <w:tblCellMar>
          <w:top w:w="0" w:type="dxa"/>
          <w:left w:w="108" w:type="dxa"/>
          <w:bottom w:w="0" w:type="dxa"/>
          <w:right w:w="108" w:type="dxa"/>
        </w:tblCellMar>
      </w:tblPr>
      <w:tblGrid>
        <w:gridCol w:w="1344"/>
        <w:gridCol w:w="57"/>
        <w:gridCol w:w="4284"/>
        <w:gridCol w:w="1395"/>
        <w:gridCol w:w="1605"/>
        <w:gridCol w:w="1185"/>
        <w:gridCol w:w="960"/>
        <w:gridCol w:w="1215"/>
        <w:gridCol w:w="1333"/>
      </w:tblGrid>
      <w:tr>
        <w:tblPrEx>
          <w:tblCellMar>
            <w:top w:w="0" w:type="dxa"/>
            <w:left w:w="108" w:type="dxa"/>
            <w:bottom w:w="0" w:type="dxa"/>
            <w:right w:w="108" w:type="dxa"/>
          </w:tblCellMar>
        </w:tblPrEx>
        <w:trPr>
          <w:trHeight w:val="458" w:hRule="atLeast"/>
          <w:jc w:val="center"/>
        </w:trPr>
        <w:tc>
          <w:tcPr>
            <w:tcW w:w="56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1395"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本年支出合计</w:t>
            </w:r>
          </w:p>
        </w:tc>
        <w:tc>
          <w:tcPr>
            <w:tcW w:w="1605"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1185"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项目支出</w:t>
            </w:r>
          </w:p>
        </w:tc>
        <w:tc>
          <w:tcPr>
            <w:tcW w:w="960"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上缴上级支出</w:t>
            </w:r>
          </w:p>
        </w:tc>
        <w:tc>
          <w:tcPr>
            <w:tcW w:w="1215"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经营支出    </w:t>
            </w:r>
          </w:p>
        </w:tc>
        <w:tc>
          <w:tcPr>
            <w:tcW w:w="1333"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对附属单位</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补助支出</w:t>
            </w:r>
          </w:p>
        </w:tc>
      </w:tr>
      <w:tr>
        <w:tblPrEx>
          <w:tblCellMar>
            <w:top w:w="0" w:type="dxa"/>
            <w:left w:w="108" w:type="dxa"/>
            <w:bottom w:w="0" w:type="dxa"/>
            <w:right w:w="108" w:type="dxa"/>
          </w:tblCellMar>
        </w:tblPrEx>
        <w:trPr>
          <w:trHeight w:val="457" w:hRule="atLeast"/>
          <w:jc w:val="center"/>
        </w:trPr>
        <w:tc>
          <w:tcPr>
            <w:tcW w:w="14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 科目编码</w:t>
            </w:r>
          </w:p>
        </w:tc>
        <w:tc>
          <w:tcPr>
            <w:tcW w:w="428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39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60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18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21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333"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56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39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60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96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21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33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w:t>
            </w:r>
          </w:p>
        </w:tc>
      </w:tr>
      <w:tr>
        <w:tblPrEx>
          <w:tblCellMar>
            <w:top w:w="0" w:type="dxa"/>
            <w:left w:w="108" w:type="dxa"/>
            <w:bottom w:w="0" w:type="dxa"/>
            <w:right w:w="108" w:type="dxa"/>
          </w:tblCellMar>
        </w:tblPrEx>
        <w:trPr>
          <w:trHeight w:val="406" w:hRule="atLeast"/>
          <w:jc w:val="center"/>
        </w:trPr>
        <w:tc>
          <w:tcPr>
            <w:tcW w:w="56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139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2,482.39</w:t>
            </w:r>
          </w:p>
        </w:tc>
        <w:tc>
          <w:tcPr>
            <w:tcW w:w="160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1,126.71</w:t>
            </w:r>
          </w:p>
        </w:tc>
        <w:tc>
          <w:tcPr>
            <w:tcW w:w="118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1,355.68</w:t>
            </w:r>
          </w:p>
        </w:tc>
        <w:tc>
          <w:tcPr>
            <w:tcW w:w="96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21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33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nil"/>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社会保障和就业支出</w:t>
            </w:r>
          </w:p>
        </w:tc>
        <w:tc>
          <w:tcPr>
            <w:tcW w:w="1395" w:type="dxa"/>
            <w:tcBorders>
              <w:top w:val="single" w:color="auto" w:sz="4" w:space="0"/>
              <w:left w:val="nil"/>
              <w:bottom w:val="single" w:color="auto" w:sz="4" w:space="0"/>
              <w:right w:val="nil"/>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1,821.23</w:t>
            </w:r>
          </w:p>
        </w:tc>
        <w:tc>
          <w:tcPr>
            <w:tcW w:w="1605" w:type="dxa"/>
            <w:tcBorders>
              <w:top w:val="single" w:color="auto" w:sz="4" w:space="0"/>
              <w:left w:val="single" w:color="auto" w:sz="4" w:space="0"/>
              <w:bottom w:val="single" w:color="auto" w:sz="4" w:space="0"/>
              <w:right w:val="nil"/>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1,058.24</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762.99</w:t>
            </w:r>
          </w:p>
        </w:tc>
        <w:tc>
          <w:tcPr>
            <w:tcW w:w="960" w:type="dxa"/>
            <w:tcBorders>
              <w:top w:val="single" w:color="auto" w:sz="4" w:space="0"/>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5" w:type="dxa"/>
            <w:tcBorders>
              <w:top w:val="single" w:color="auto" w:sz="4" w:space="0"/>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3" w:type="dxa"/>
            <w:tcBorders>
              <w:top w:val="single" w:color="auto" w:sz="4" w:space="0"/>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06" w:hRule="atLeast"/>
          <w:jc w:val="center"/>
        </w:trPr>
        <w:tc>
          <w:tcPr>
            <w:tcW w:w="1344" w:type="dxa"/>
            <w:tcBorders>
              <w:top w:val="nil"/>
              <w:left w:val="single" w:color="auto" w:sz="4" w:space="0"/>
              <w:bottom w:val="single" w:color="auto" w:sz="4" w:space="0"/>
              <w:right w:val="nil"/>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20805</w:t>
            </w:r>
          </w:p>
        </w:tc>
        <w:tc>
          <w:tcPr>
            <w:tcW w:w="4341"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行政事业单位养老支出</w:t>
            </w:r>
          </w:p>
        </w:tc>
        <w:tc>
          <w:tcPr>
            <w:tcW w:w="1395" w:type="dxa"/>
            <w:tcBorders>
              <w:top w:val="nil"/>
              <w:left w:val="nil"/>
              <w:bottom w:val="single" w:color="auto" w:sz="4" w:space="0"/>
              <w:right w:val="nil"/>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71.74</w:t>
            </w:r>
          </w:p>
        </w:tc>
        <w:tc>
          <w:tcPr>
            <w:tcW w:w="1605" w:type="dxa"/>
            <w:tcBorders>
              <w:top w:val="nil"/>
              <w:left w:val="single" w:color="auto" w:sz="4" w:space="0"/>
              <w:bottom w:val="single" w:color="auto" w:sz="4" w:space="0"/>
              <w:right w:val="nil"/>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71.74</w:t>
            </w:r>
          </w:p>
        </w:tc>
        <w:tc>
          <w:tcPr>
            <w:tcW w:w="1185"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5"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3"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06" w:hRule="atLeast"/>
          <w:jc w:val="center"/>
        </w:trPr>
        <w:tc>
          <w:tcPr>
            <w:tcW w:w="1344" w:type="dxa"/>
            <w:tcBorders>
              <w:top w:val="nil"/>
              <w:left w:val="single" w:color="auto" w:sz="4" w:space="0"/>
              <w:bottom w:val="single" w:color="auto" w:sz="4" w:space="0"/>
              <w:right w:val="nil"/>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2080505</w:t>
            </w:r>
          </w:p>
        </w:tc>
        <w:tc>
          <w:tcPr>
            <w:tcW w:w="4341"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机关事业单位基本养老保险缴费支出</w:t>
            </w:r>
          </w:p>
        </w:tc>
        <w:tc>
          <w:tcPr>
            <w:tcW w:w="1395" w:type="dxa"/>
            <w:tcBorders>
              <w:top w:val="nil"/>
              <w:left w:val="nil"/>
              <w:bottom w:val="single" w:color="auto" w:sz="4" w:space="0"/>
              <w:right w:val="nil"/>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65.61</w:t>
            </w:r>
          </w:p>
        </w:tc>
        <w:tc>
          <w:tcPr>
            <w:tcW w:w="1605" w:type="dxa"/>
            <w:tcBorders>
              <w:top w:val="nil"/>
              <w:left w:val="single" w:color="auto" w:sz="4" w:space="0"/>
              <w:bottom w:val="single" w:color="auto" w:sz="4" w:space="0"/>
              <w:right w:val="nil"/>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65.61</w:t>
            </w:r>
          </w:p>
        </w:tc>
        <w:tc>
          <w:tcPr>
            <w:tcW w:w="1185"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5"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3"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06" w:hRule="atLeast"/>
          <w:jc w:val="center"/>
        </w:trPr>
        <w:tc>
          <w:tcPr>
            <w:tcW w:w="1344" w:type="dxa"/>
            <w:tcBorders>
              <w:top w:val="nil"/>
              <w:left w:val="single" w:color="auto" w:sz="4" w:space="0"/>
              <w:bottom w:val="single" w:color="auto" w:sz="4" w:space="0"/>
              <w:right w:val="nil"/>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2080506</w:t>
            </w:r>
          </w:p>
        </w:tc>
        <w:tc>
          <w:tcPr>
            <w:tcW w:w="4341"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机关事业单位职业年金缴费支出</w:t>
            </w:r>
          </w:p>
        </w:tc>
        <w:tc>
          <w:tcPr>
            <w:tcW w:w="1395" w:type="dxa"/>
            <w:tcBorders>
              <w:top w:val="nil"/>
              <w:left w:val="nil"/>
              <w:bottom w:val="single" w:color="auto" w:sz="4" w:space="0"/>
              <w:right w:val="nil"/>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6.12</w:t>
            </w:r>
          </w:p>
        </w:tc>
        <w:tc>
          <w:tcPr>
            <w:tcW w:w="1605" w:type="dxa"/>
            <w:tcBorders>
              <w:top w:val="nil"/>
              <w:left w:val="single" w:color="auto" w:sz="4" w:space="0"/>
              <w:bottom w:val="single" w:color="auto" w:sz="4" w:space="0"/>
              <w:right w:val="nil"/>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6.12</w:t>
            </w:r>
          </w:p>
        </w:tc>
        <w:tc>
          <w:tcPr>
            <w:tcW w:w="1185"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5"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3"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06" w:hRule="atLeast"/>
          <w:jc w:val="center"/>
        </w:trPr>
        <w:tc>
          <w:tcPr>
            <w:tcW w:w="1344" w:type="dxa"/>
            <w:tcBorders>
              <w:top w:val="nil"/>
              <w:left w:val="single" w:color="auto" w:sz="4" w:space="0"/>
              <w:bottom w:val="single" w:color="auto" w:sz="4" w:space="0"/>
              <w:right w:val="nil"/>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20808</w:t>
            </w:r>
          </w:p>
        </w:tc>
        <w:tc>
          <w:tcPr>
            <w:tcW w:w="4341"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抚恤</w:t>
            </w:r>
          </w:p>
        </w:tc>
        <w:tc>
          <w:tcPr>
            <w:tcW w:w="1395" w:type="dxa"/>
            <w:tcBorders>
              <w:top w:val="nil"/>
              <w:left w:val="nil"/>
              <w:bottom w:val="single" w:color="auto" w:sz="4" w:space="0"/>
              <w:right w:val="nil"/>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5.54</w:t>
            </w:r>
          </w:p>
        </w:tc>
        <w:tc>
          <w:tcPr>
            <w:tcW w:w="1605" w:type="dxa"/>
            <w:tcBorders>
              <w:top w:val="nil"/>
              <w:left w:val="single" w:color="auto" w:sz="4" w:space="0"/>
              <w:bottom w:val="single" w:color="auto" w:sz="4" w:space="0"/>
              <w:right w:val="nil"/>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5.54</w:t>
            </w:r>
          </w:p>
        </w:tc>
        <w:tc>
          <w:tcPr>
            <w:tcW w:w="1185"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2080801</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死亡抚恤</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5.54</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5.54</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20810</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社会福利</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1,739.44</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976.45</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762.99</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2081001</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儿童福利</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94.39</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0.00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94.39</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2081005</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社会福利事业单位</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1,645.05</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976.45</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668.60</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20899</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其他社会保障和就业支出</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4.51</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4.51</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2089999</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其他社会保障和就业支出</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4.51</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4.51</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56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1395"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本年支出合计</w:t>
            </w:r>
          </w:p>
          <w:p>
            <w:pPr>
              <w:widowControl/>
              <w:spacing w:line="300" w:lineRule="exact"/>
              <w:jc w:val="center"/>
              <w:rPr>
                <w:rFonts w:hint="eastAsia" w:ascii="仿宋_GB2312" w:hAnsi="宋体" w:eastAsia="仿宋_GB2312" w:cs="宋体"/>
                <w:kern w:val="0"/>
                <w:sz w:val="22"/>
                <w:szCs w:val="22"/>
              </w:rPr>
            </w:pPr>
          </w:p>
        </w:tc>
        <w:tc>
          <w:tcPr>
            <w:tcW w:w="1605"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基本支出</w:t>
            </w:r>
          </w:p>
          <w:p>
            <w:pPr>
              <w:widowControl/>
              <w:spacing w:line="300" w:lineRule="exact"/>
              <w:jc w:val="center"/>
              <w:rPr>
                <w:rFonts w:hint="eastAsia" w:ascii="仿宋_GB2312" w:hAnsi="宋体" w:eastAsia="仿宋_GB2312" w:cs="宋体"/>
                <w:kern w:val="0"/>
                <w:sz w:val="22"/>
                <w:szCs w:val="22"/>
              </w:rPr>
            </w:pPr>
          </w:p>
        </w:tc>
        <w:tc>
          <w:tcPr>
            <w:tcW w:w="1185"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项目支出</w:t>
            </w:r>
          </w:p>
          <w:p>
            <w:pPr>
              <w:widowControl/>
              <w:spacing w:line="300" w:lineRule="exact"/>
              <w:jc w:val="center"/>
              <w:rPr>
                <w:rFonts w:hint="eastAsia" w:ascii="仿宋_GB2312" w:hAnsi="宋体" w:eastAsia="仿宋_GB2312" w:cs="宋体"/>
                <w:kern w:val="0"/>
                <w:sz w:val="22"/>
                <w:szCs w:val="22"/>
              </w:rPr>
            </w:pPr>
          </w:p>
        </w:tc>
        <w:tc>
          <w:tcPr>
            <w:tcW w:w="960"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上缴上级支出</w:t>
            </w:r>
          </w:p>
          <w:p>
            <w:pPr>
              <w:widowControl/>
              <w:spacing w:line="300" w:lineRule="exact"/>
              <w:jc w:val="right"/>
              <w:rPr>
                <w:rFonts w:hint="eastAsia" w:ascii="仿宋_GB2312" w:hAnsi="宋体" w:eastAsia="仿宋_GB2312" w:cs="宋体"/>
                <w:kern w:val="0"/>
                <w:sz w:val="22"/>
                <w:szCs w:val="22"/>
              </w:rPr>
            </w:pPr>
          </w:p>
        </w:tc>
        <w:tc>
          <w:tcPr>
            <w:tcW w:w="1215"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经营支出    </w:t>
            </w:r>
          </w:p>
          <w:p>
            <w:pPr>
              <w:widowControl/>
              <w:spacing w:line="300" w:lineRule="exact"/>
              <w:jc w:val="right"/>
              <w:rPr>
                <w:rFonts w:hint="eastAsia" w:ascii="仿宋_GB2312" w:hAnsi="宋体" w:eastAsia="仿宋_GB2312" w:cs="宋体"/>
                <w:kern w:val="0"/>
                <w:sz w:val="22"/>
                <w:szCs w:val="22"/>
              </w:rPr>
            </w:pPr>
          </w:p>
        </w:tc>
        <w:tc>
          <w:tcPr>
            <w:tcW w:w="1333"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对附属单位</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补助支出</w:t>
            </w:r>
          </w:p>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功能分类 科目编码</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39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60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18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568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w:t>
            </w: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210</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卫生健康支出</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64.43</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64.43</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21011</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行政事业单位医疗</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64.43</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64.43</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2101102</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事业单位医疗</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39.67</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39.67</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2101103</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公务员医疗补助</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24.76</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24.76</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221</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住房保障支出</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22102</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住房改革支出</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2210201</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住房公积金</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229</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其他支出</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22960</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彩票公益金安排的支出</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06" w:hRule="atLeast"/>
          <w:jc w:val="center"/>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2296002</w:t>
            </w:r>
          </w:p>
        </w:tc>
        <w:tc>
          <w:tcPr>
            <w:tcW w:w="434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用于社会福利的彩票公益金支出</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r>
    </w:tbl>
    <w:p>
      <w:pPr>
        <w:ind w:firstLine="108" w:firstLineChars="50"/>
        <w:rPr>
          <w:rFonts w:hint="eastAsia" w:ascii="仿宋_GB2312" w:hAnsi="宋体" w:eastAsia="仿宋_GB2312"/>
          <w:sz w:val="22"/>
          <w:szCs w:val="22"/>
        </w:rPr>
      </w:pPr>
      <w:r>
        <w:rPr>
          <w:rFonts w:hint="eastAsia" w:ascii="仿宋_GB2312" w:hAnsi="宋体" w:eastAsia="仿宋_GB2312"/>
          <w:sz w:val="22"/>
          <w:szCs w:val="22"/>
        </w:rPr>
        <w:t>注：本表反映单位本年度各项支出情况。</w:t>
      </w:r>
    </w:p>
    <w:p>
      <w:pPr>
        <w:rPr>
          <w:rFonts w:ascii="仿宋_GB2312" w:hAnsi="宋体" w:eastAsia="仿宋_GB2312"/>
          <w:sz w:val="22"/>
          <w:szCs w:val="22"/>
        </w:rPr>
      </w:pPr>
    </w:p>
    <w:p>
      <w:pPr>
        <w:tabs>
          <w:tab w:val="left" w:pos="303"/>
        </w:tabs>
        <w:bidi w:val="0"/>
        <w:jc w:val="left"/>
        <w:rPr>
          <w:rFonts w:hint="eastAsia"/>
          <w:kern w:val="2"/>
          <w:sz w:val="32"/>
          <w:szCs w:val="24"/>
          <w:lang w:val="en-US" w:eastAsia="zh-CN" w:bidi="ar-SA"/>
        </w:rPr>
      </w:pPr>
      <w:r>
        <w:rPr>
          <w:rFonts w:hint="eastAsia"/>
          <w:kern w:val="2"/>
          <w:sz w:val="32"/>
          <w:szCs w:val="24"/>
          <w:lang w:val="en-US" w:eastAsia="zh-CN" w:bidi="ar-SA"/>
        </w:rPr>
        <w:tab/>
      </w:r>
    </w:p>
    <w:p>
      <w:pPr>
        <w:tabs>
          <w:tab w:val="left" w:pos="303"/>
        </w:tabs>
        <w:bidi w:val="0"/>
        <w:jc w:val="left"/>
        <w:rPr>
          <w:rFonts w:hint="eastAsia"/>
          <w:kern w:val="2"/>
          <w:sz w:val="32"/>
          <w:szCs w:val="24"/>
          <w:lang w:val="en-US" w:eastAsia="zh-CN" w:bidi="ar-SA"/>
        </w:rPr>
      </w:pPr>
    </w:p>
    <w:p>
      <w:pPr>
        <w:tabs>
          <w:tab w:val="left" w:pos="303"/>
        </w:tabs>
        <w:bidi w:val="0"/>
        <w:jc w:val="left"/>
        <w:rPr>
          <w:rFonts w:hint="eastAsia"/>
          <w:kern w:val="2"/>
          <w:sz w:val="32"/>
          <w:szCs w:val="24"/>
          <w:lang w:val="en-US" w:eastAsia="zh-CN" w:bidi="ar-SA"/>
        </w:rPr>
      </w:pPr>
    </w:p>
    <w:p>
      <w:pPr>
        <w:tabs>
          <w:tab w:val="left" w:pos="303"/>
        </w:tabs>
        <w:bidi w:val="0"/>
        <w:jc w:val="left"/>
        <w:rPr>
          <w:rFonts w:hint="eastAsia"/>
          <w:kern w:val="2"/>
          <w:sz w:val="32"/>
          <w:szCs w:val="24"/>
          <w:lang w:val="en-US" w:eastAsia="zh-CN" w:bidi="ar-SA"/>
        </w:rPr>
        <w:sectPr>
          <w:pgSz w:w="16838" w:h="11906" w:orient="landscape"/>
          <w:pgMar w:top="1531" w:right="1701" w:bottom="1531" w:left="1701" w:header="0" w:footer="1418" w:gutter="0"/>
          <w:pgNumType w:fmt="numberInDash"/>
          <w:cols w:space="720" w:num="1"/>
          <w:docGrid w:type="linesAndChars" w:linePitch="610" w:charSpace="-849"/>
        </w:sect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财政拨款收入支出决算总表</w:t>
      </w:r>
    </w:p>
    <w:p>
      <w:pPr>
        <w:spacing w:line="400" w:lineRule="exact"/>
        <w:jc w:val="right"/>
        <w:rPr>
          <w:rFonts w:hint="eastAsia" w:ascii="楷体_GB2312" w:eastAsia="楷体_GB2312"/>
          <w:sz w:val="28"/>
          <w:szCs w:val="28"/>
        </w:rPr>
      </w:pPr>
      <w:r>
        <w:rPr>
          <w:rFonts w:hint="eastAsia" w:ascii="楷体_GB2312" w:eastAsia="楷体_GB2312"/>
          <w:sz w:val="28"/>
          <w:szCs w:val="28"/>
        </w:rPr>
        <w:t xml:space="preserve">    公开04表</w:t>
      </w:r>
    </w:p>
    <w:p>
      <w:pPr>
        <w:spacing w:line="400" w:lineRule="exact"/>
        <w:jc w:val="left"/>
        <w:rPr>
          <w:rFonts w:hint="eastAsia" w:ascii="楷体_GB2312" w:eastAsia="楷体_GB2312"/>
          <w:sz w:val="28"/>
          <w:szCs w:val="28"/>
        </w:rPr>
      </w:pPr>
      <w:r>
        <w:rPr>
          <w:rFonts w:hint="eastAsia" w:ascii="楷体_GB2312" w:eastAsia="楷体_GB2312"/>
          <w:sz w:val="28"/>
          <w:szCs w:val="28"/>
        </w:rPr>
        <w:t>单位：泰安市社会福利院（泰安市儿童福利院）                                         金额单位：万元</w:t>
      </w:r>
    </w:p>
    <w:tbl>
      <w:tblPr>
        <w:tblStyle w:val="10"/>
        <w:tblW w:w="150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22"/>
        <w:gridCol w:w="540"/>
        <w:gridCol w:w="1512"/>
        <w:gridCol w:w="3513"/>
        <w:gridCol w:w="735"/>
        <w:gridCol w:w="1335"/>
        <w:gridCol w:w="1455"/>
        <w:gridCol w:w="1410"/>
        <w:gridCol w:w="15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5074" w:type="dxa"/>
            <w:gridSpan w:val="3"/>
            <w:tcBorders>
              <w:top w:val="single" w:color="auto" w:sz="4" w:space="0"/>
              <w:bottom w:val="single" w:color="auto" w:sz="4" w:space="0"/>
              <w:right w:val="nil"/>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收 入</w:t>
            </w:r>
          </w:p>
        </w:tc>
        <w:tc>
          <w:tcPr>
            <w:tcW w:w="9967" w:type="dxa"/>
            <w:gridSpan w:val="6"/>
            <w:tcBorders>
              <w:top w:val="single" w:color="auto" w:sz="4" w:space="0"/>
              <w:left w:val="nil"/>
              <w:bottom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 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15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金额</w:t>
            </w:r>
          </w:p>
        </w:tc>
        <w:tc>
          <w:tcPr>
            <w:tcW w:w="35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合计</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一般公共预算</w:t>
            </w:r>
          </w:p>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财政拨款</w:t>
            </w:r>
          </w:p>
        </w:tc>
        <w:tc>
          <w:tcPr>
            <w:tcW w:w="1410" w:type="dxa"/>
            <w:tcBorders>
              <w:top w:val="single" w:color="auto" w:sz="4" w:space="0"/>
              <w:left w:val="single" w:color="auto" w:sz="4" w:space="0"/>
              <w:bottom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政府性基金</w:t>
            </w:r>
          </w:p>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预算财政拨款</w:t>
            </w:r>
          </w:p>
        </w:tc>
        <w:tc>
          <w:tcPr>
            <w:tcW w:w="1519" w:type="dxa"/>
            <w:tcBorders>
              <w:top w:val="single" w:color="auto" w:sz="4" w:space="0"/>
              <w:left w:val="single" w:color="auto" w:sz="4" w:space="0"/>
              <w:bottom w:val="single" w:color="auto" w:sz="4" w:space="0"/>
            </w:tcBorders>
            <w:shd w:val="clear" w:color="auto" w:fill="FFFFFF"/>
            <w:noWrap w:val="0"/>
            <w:vAlign w:val="top"/>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国有资本经营预算财政拨款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noWrap w:val="0"/>
            <w:vAlign w:val="center"/>
          </w:tcPr>
          <w:p>
            <w:pPr>
              <w:widowControl/>
              <w:spacing w:line="300" w:lineRule="exact"/>
              <w:ind w:firstLine="1176" w:firstLineChars="600"/>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5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栏  次</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一、一般公共预算财政拨款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1,676.68</w:t>
            </w:r>
          </w:p>
        </w:tc>
        <w:tc>
          <w:tcPr>
            <w:tcW w:w="35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一、一般公共服务支出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二、政府性基金预算财政拨款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524.11</w:t>
            </w:r>
          </w:p>
        </w:tc>
        <w:tc>
          <w:tcPr>
            <w:tcW w:w="35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二、外交支出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三、国有资本经营预算财政拨款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三、国防支出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5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四、公共安全支出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5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五、教育支出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5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六、科学技术支出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七、文化旅游体育与传媒支出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八、社会保障和就业支出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1,740.04</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1,740.04</w:t>
            </w: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九、卫生健康支出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64.43</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64.43</w:t>
            </w: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十、节能环保支出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十一、城乡社区支出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十二、农林水支出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十三、交通运输支出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十四、资源勘探工业信息等支出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十五、商业服务业等支出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5074" w:type="dxa"/>
            <w:gridSpan w:val="3"/>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收 入</w:t>
            </w:r>
          </w:p>
        </w:tc>
        <w:tc>
          <w:tcPr>
            <w:tcW w:w="9967" w:type="dxa"/>
            <w:gridSpan w:val="6"/>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 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金额</w:t>
            </w: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    目</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行次</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合计</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一般公共预算</w:t>
            </w:r>
          </w:p>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财政拨款</w:t>
            </w: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政府性基金</w:t>
            </w:r>
          </w:p>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预算财政拨款</w:t>
            </w: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国有资本经营预算财政拨款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十六、金融支出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十七、援助其他地区支出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十八、自然资源海洋气象等支出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十九、住房保障支出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4.04</w:t>
            </w: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二十、粮油物资储备支出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二十一、国有资本经营预算支出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二十二、灾害防治及应急管理支出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二十三、其他支出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二十四、债务还本支出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二十五、债务付息支出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righ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left"/>
              <w:rPr>
                <w:rFonts w:hint="eastAsia" w:ascii="仿宋_GB2312" w:hAnsi="宋体" w:eastAsia="仿宋_GB2312" w:cs="宋体"/>
                <w:kern w:val="0"/>
                <w:sz w:val="20"/>
                <w:szCs w:val="2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二十六、抗疫特别国债安排的支出</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rPr>
                <w:rFonts w:hint="eastAsia" w:ascii="仿宋_GB2312" w:hAnsi="宋体" w:eastAsia="仿宋_GB2312" w:cs="宋体"/>
                <w:kern w:val="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bCs/>
                <w:kern w:val="0"/>
                <w:sz w:val="20"/>
                <w:szCs w:val="20"/>
              </w:rPr>
            </w:pPr>
            <w:r>
              <w:rPr>
                <w:rFonts w:hint="eastAsia" w:ascii="仿宋_GB2312" w:hAnsi="宋体" w:eastAsia="仿宋_GB2312" w:cs="宋体"/>
                <w:b/>
                <w:kern w:val="0"/>
                <w:sz w:val="20"/>
                <w:szCs w:val="20"/>
              </w:rPr>
              <w:t>本年收入合计</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2,200.79</w:t>
            </w: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bCs/>
                <w:kern w:val="0"/>
                <w:sz w:val="20"/>
                <w:szCs w:val="20"/>
              </w:rPr>
            </w:pPr>
            <w:r>
              <w:rPr>
                <w:rFonts w:hint="eastAsia" w:ascii="仿宋_GB2312" w:hAnsi="宋体" w:eastAsia="仿宋_GB2312" w:cs="宋体"/>
                <w:b/>
                <w:kern w:val="0"/>
                <w:sz w:val="20"/>
                <w:szCs w:val="20"/>
              </w:rPr>
              <w:t>本年支出合计</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2,401.20</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1,808.51</w:t>
            </w: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left"/>
              <w:rPr>
                <w:rFonts w:hint="eastAsia" w:ascii="仿宋_GB2312" w:hAnsi="宋体" w:eastAsia="仿宋_GB2312"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年初财政拨款结转和结余</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200.41</w:t>
            </w: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hint="eastAsia" w:ascii="仿宋_GB2312" w:hAnsi="宋体" w:eastAsia="仿宋_GB2312" w:cs="宋体"/>
                <w:kern w:val="0"/>
                <w:sz w:val="20"/>
                <w:szCs w:val="20"/>
              </w:rPr>
            </w:pPr>
            <w:r>
              <w:rPr>
                <w:rFonts w:hint="eastAsia" w:ascii="仿宋_GB2312" w:hAnsi="宋体" w:eastAsia="仿宋_GB2312" w:cs="宋体"/>
                <w:kern w:val="0"/>
                <w:sz w:val="22"/>
                <w:szCs w:val="22"/>
              </w:rPr>
              <w:t>年末财政拨款结转和结余</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noWrap w:val="0"/>
            <w:vAlign w:val="center"/>
          </w:tcPr>
          <w:p>
            <w:pPr>
              <w:widowControl/>
              <w:spacing w:line="300" w:lineRule="exact"/>
              <w:ind w:firstLine="392" w:firstLineChars="200"/>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一般公共预算财政拨款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131.84</w:t>
            </w: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政府性基金预算财政拨款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68.58</w:t>
            </w: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  国有资本经营预算财政拨款</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0.00</w:t>
            </w:r>
          </w:p>
        </w:tc>
        <w:tc>
          <w:tcPr>
            <w:tcW w:w="35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left"/>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3022" w:type="dxa"/>
            <w:tcBorders>
              <w:top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bCs/>
                <w:kern w:val="0"/>
                <w:sz w:val="20"/>
                <w:szCs w:val="20"/>
              </w:rPr>
            </w:pPr>
            <w:r>
              <w:rPr>
                <w:rFonts w:hint="eastAsia" w:ascii="仿宋_GB2312" w:hAnsi="宋体" w:eastAsia="仿宋_GB2312" w:cs="宋体"/>
                <w:b/>
                <w:kern w:val="0"/>
                <w:sz w:val="20"/>
                <w:szCs w:val="20"/>
              </w:rPr>
              <w:t>总计</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51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2,401.20</w:t>
            </w:r>
          </w:p>
        </w:tc>
        <w:tc>
          <w:tcPr>
            <w:tcW w:w="35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bCs/>
                <w:kern w:val="0"/>
                <w:sz w:val="20"/>
                <w:szCs w:val="20"/>
              </w:rPr>
            </w:pPr>
            <w:r>
              <w:rPr>
                <w:rFonts w:hint="eastAsia" w:ascii="仿宋_GB2312" w:hAnsi="宋体" w:eastAsia="仿宋_GB2312" w:cs="宋体"/>
                <w:b/>
                <w:kern w:val="0"/>
                <w:sz w:val="20"/>
                <w:szCs w:val="20"/>
              </w:rPr>
              <w:t>总计</w:t>
            </w:r>
          </w:p>
        </w:tc>
        <w:tc>
          <w:tcPr>
            <w:tcW w:w="7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13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2,401.20</w:t>
            </w:r>
          </w:p>
        </w:tc>
        <w:tc>
          <w:tcPr>
            <w:tcW w:w="14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1,808.51</w:t>
            </w:r>
          </w:p>
        </w:tc>
        <w:tc>
          <w:tcPr>
            <w:tcW w:w="1410" w:type="dxa"/>
            <w:tcBorders>
              <w:top w:val="single" w:color="auto" w:sz="4" w:space="0"/>
              <w:left w:val="single" w:color="auto" w:sz="4" w:space="0"/>
              <w:bottom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519" w:type="dxa"/>
            <w:tcBorders>
              <w:top w:val="single" w:color="auto" w:sz="4" w:space="0"/>
              <w:left w:val="single" w:color="auto" w:sz="4" w:space="0"/>
              <w:bottom w:val="single" w:color="auto" w:sz="4" w:space="0"/>
            </w:tcBorders>
            <w:noWrap w:val="0"/>
            <w:vAlign w:val="top"/>
          </w:tcPr>
          <w:p>
            <w:pPr>
              <w:widowControl/>
              <w:spacing w:line="300" w:lineRule="exact"/>
              <w:jc w:val="left"/>
              <w:rPr>
                <w:rFonts w:hint="eastAsia" w:ascii="仿宋_GB2312" w:hAnsi="宋体" w:eastAsia="仿宋_GB2312" w:cs="宋体"/>
                <w:b/>
                <w:bCs/>
                <w:kern w:val="0"/>
                <w:sz w:val="20"/>
                <w:szCs w:val="20"/>
              </w:rPr>
            </w:pPr>
          </w:p>
        </w:tc>
      </w:tr>
    </w:tbl>
    <w:p>
      <w:pPr>
        <w:ind w:firstLine="108" w:firstLineChars="50"/>
        <w:rPr>
          <w:rFonts w:ascii="仿宋_GB2312" w:hAnsi="宋体" w:eastAsia="仿宋_GB2312"/>
          <w:sz w:val="22"/>
          <w:szCs w:val="22"/>
        </w:rPr>
        <w:sectPr>
          <w:pgSz w:w="16838" w:h="11906" w:orient="landscape"/>
          <w:pgMar w:top="1531" w:right="1701" w:bottom="1531" w:left="1701" w:header="0" w:footer="1418" w:gutter="0"/>
          <w:pgNumType w:fmt="numberInDash"/>
          <w:cols w:space="720" w:num="1"/>
          <w:docGrid w:type="linesAndChars" w:linePitch="610" w:charSpace="-849"/>
        </w:sectPr>
      </w:pPr>
      <w:r>
        <w:rPr>
          <w:rFonts w:hint="eastAsia" w:ascii="仿宋_GB2312" w:hAnsi="宋体" w:eastAsia="仿宋_GB2312"/>
          <w:sz w:val="22"/>
          <w:szCs w:val="22"/>
        </w:rPr>
        <w:t>注：本表反映单位本年度一般公共预算财政拨款、政府性基金预算财政拨款和国有资本经营预算财政拨款的总收支和年末结转结余情况。</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一般公共预算财政拨款支出决算表</w:t>
      </w:r>
    </w:p>
    <w:p>
      <w:pPr>
        <w:spacing w:line="400" w:lineRule="exact"/>
        <w:jc w:val="right"/>
        <w:rPr>
          <w:rFonts w:hint="eastAsia" w:ascii="楷体_GB2312" w:eastAsia="楷体_GB2312"/>
          <w:sz w:val="28"/>
          <w:szCs w:val="28"/>
        </w:rPr>
      </w:pPr>
      <w:r>
        <w:rPr>
          <w:rFonts w:hint="eastAsia" w:ascii="楷体_GB2312" w:eastAsia="楷体_GB2312"/>
          <w:sz w:val="28"/>
          <w:szCs w:val="28"/>
        </w:rPr>
        <w:t>公开05表</w:t>
      </w:r>
    </w:p>
    <w:p>
      <w:pPr>
        <w:wordWrap w:val="0"/>
        <w:spacing w:line="400" w:lineRule="exact"/>
        <w:ind w:firstLine="138" w:firstLineChars="50"/>
        <w:jc w:val="right"/>
        <w:rPr>
          <w:rFonts w:hint="eastAsia" w:ascii="楷体_GB2312" w:eastAsia="楷体_GB2312"/>
          <w:sz w:val="28"/>
          <w:szCs w:val="28"/>
        </w:rPr>
      </w:pPr>
      <w:r>
        <w:rPr>
          <w:rFonts w:hint="eastAsia" w:ascii="楷体_GB2312" w:eastAsia="楷体_GB2312"/>
          <w:sz w:val="28"/>
          <w:szCs w:val="28"/>
        </w:rPr>
        <w:t xml:space="preserve">单位：泰安市社会福利院（泰安市儿童福利院）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10"/>
        <w:tblW w:w="0" w:type="auto"/>
        <w:jc w:val="center"/>
        <w:tblLayout w:type="fixed"/>
        <w:tblCellMar>
          <w:top w:w="0" w:type="dxa"/>
          <w:left w:w="108" w:type="dxa"/>
          <w:bottom w:w="0" w:type="dxa"/>
          <w:right w:w="108" w:type="dxa"/>
        </w:tblCellMar>
      </w:tblPr>
      <w:tblGrid>
        <w:gridCol w:w="1701"/>
        <w:gridCol w:w="3958"/>
        <w:gridCol w:w="1995"/>
        <w:gridCol w:w="2978"/>
        <w:gridCol w:w="2520"/>
      </w:tblGrid>
      <w:tr>
        <w:tblPrEx>
          <w:tblCellMar>
            <w:top w:w="0" w:type="dxa"/>
            <w:left w:w="108" w:type="dxa"/>
            <w:bottom w:w="0" w:type="dxa"/>
            <w:right w:w="108" w:type="dxa"/>
          </w:tblCellMar>
        </w:tblPrEx>
        <w:trPr>
          <w:trHeight w:val="428" w:hRule="atLeast"/>
          <w:jc w:val="center"/>
        </w:trPr>
        <w:tc>
          <w:tcPr>
            <w:tcW w:w="5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749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本年支出</w:t>
            </w:r>
          </w:p>
        </w:tc>
      </w:tr>
      <w:tr>
        <w:tblPrEx>
          <w:tblCellMar>
            <w:top w:w="0" w:type="dxa"/>
            <w:left w:w="108" w:type="dxa"/>
            <w:bottom w:w="0" w:type="dxa"/>
            <w:right w:w="108" w:type="dxa"/>
          </w:tblCellMar>
        </w:tblPrEx>
        <w:trPr>
          <w:trHeight w:val="675"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功能分类</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科目编码</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项目支出</w:t>
            </w:r>
          </w:p>
        </w:tc>
      </w:tr>
      <w:tr>
        <w:tblPrEx>
          <w:tblCellMar>
            <w:top w:w="0" w:type="dxa"/>
            <w:left w:w="108" w:type="dxa"/>
            <w:bottom w:w="0" w:type="dxa"/>
            <w:right w:w="108" w:type="dxa"/>
          </w:tblCellMar>
        </w:tblPrEx>
        <w:trPr>
          <w:trHeight w:val="454" w:hRule="exact"/>
          <w:jc w:val="center"/>
        </w:trPr>
        <w:tc>
          <w:tcPr>
            <w:tcW w:w="5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99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297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252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r>
      <w:tr>
        <w:tblPrEx>
          <w:tblCellMar>
            <w:top w:w="0" w:type="dxa"/>
            <w:left w:w="108" w:type="dxa"/>
            <w:bottom w:w="0" w:type="dxa"/>
            <w:right w:w="108" w:type="dxa"/>
          </w:tblCellMar>
        </w:tblPrEx>
        <w:trPr>
          <w:trHeight w:val="454" w:hRule="exact"/>
          <w:jc w:val="center"/>
        </w:trPr>
        <w:tc>
          <w:tcPr>
            <w:tcW w:w="5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1995" w:type="dxa"/>
            <w:tcBorders>
              <w:top w:val="nil"/>
              <w:left w:val="nil"/>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b/>
                <w:bCs/>
                <w:color w:val="000000"/>
                <w:kern w:val="0"/>
                <w:sz w:val="20"/>
                <w:szCs w:val="20"/>
                <w:lang w:bidi="ar"/>
              </w:rPr>
              <w:t>1,808.51</w:t>
            </w:r>
          </w:p>
        </w:tc>
        <w:tc>
          <w:tcPr>
            <w:tcW w:w="2978" w:type="dxa"/>
            <w:tcBorders>
              <w:top w:val="nil"/>
              <w:left w:val="nil"/>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b/>
                <w:bCs/>
                <w:color w:val="000000"/>
                <w:kern w:val="0"/>
                <w:sz w:val="20"/>
                <w:szCs w:val="20"/>
                <w:lang w:bidi="ar"/>
              </w:rPr>
              <w:t>1,126.71</w:t>
            </w:r>
          </w:p>
        </w:tc>
        <w:tc>
          <w:tcPr>
            <w:tcW w:w="2520" w:type="dxa"/>
            <w:tcBorders>
              <w:top w:val="nil"/>
              <w:left w:val="nil"/>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b/>
                <w:bCs/>
                <w:color w:val="000000"/>
                <w:kern w:val="0"/>
                <w:sz w:val="20"/>
                <w:szCs w:val="20"/>
                <w:lang w:bidi="ar"/>
              </w:rPr>
              <w:t>681.80</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w:t>
            </w:r>
          </w:p>
        </w:tc>
        <w:tc>
          <w:tcPr>
            <w:tcW w:w="3958"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社会保障和就业支出</w:t>
            </w:r>
          </w:p>
        </w:tc>
        <w:tc>
          <w:tcPr>
            <w:tcW w:w="1995" w:type="dxa"/>
            <w:tcBorders>
              <w:top w:val="nil"/>
              <w:left w:val="nil"/>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1,740.04</w:t>
            </w:r>
          </w:p>
        </w:tc>
        <w:tc>
          <w:tcPr>
            <w:tcW w:w="2978" w:type="dxa"/>
            <w:tcBorders>
              <w:top w:val="nil"/>
              <w:left w:val="nil"/>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1,058.24</w:t>
            </w:r>
          </w:p>
        </w:tc>
        <w:tc>
          <w:tcPr>
            <w:tcW w:w="2520" w:type="dxa"/>
            <w:tcBorders>
              <w:top w:val="nil"/>
              <w:left w:val="nil"/>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681.80</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20805</w:t>
            </w:r>
          </w:p>
        </w:tc>
        <w:tc>
          <w:tcPr>
            <w:tcW w:w="3958"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行政事业单位养老支出</w:t>
            </w:r>
          </w:p>
        </w:tc>
        <w:tc>
          <w:tcPr>
            <w:tcW w:w="1995" w:type="dxa"/>
            <w:tcBorders>
              <w:top w:val="nil"/>
              <w:left w:val="nil"/>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71.74</w:t>
            </w:r>
          </w:p>
        </w:tc>
        <w:tc>
          <w:tcPr>
            <w:tcW w:w="2978" w:type="dxa"/>
            <w:tcBorders>
              <w:top w:val="nil"/>
              <w:left w:val="nil"/>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71.74</w:t>
            </w:r>
          </w:p>
        </w:tc>
        <w:tc>
          <w:tcPr>
            <w:tcW w:w="2520" w:type="dxa"/>
            <w:tcBorders>
              <w:top w:val="nil"/>
              <w:left w:val="nil"/>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2080505</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机关事业单位基本养老保险缴费支出</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65.61</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65.61</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2080506</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机关事业单位职业年金缴费支出</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6.12</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6.12</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20808</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抚恤</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5.54</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5.54</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2080801</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死亡抚恤</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5.54</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5.54</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20810</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社会福利</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1,658.25</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976.45</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681.80</w:t>
            </w: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2081001</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儿童福利</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94.39</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94.39</w:t>
            </w: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2081005</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社会福利事业单位</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1,563.86</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976.45</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587.42</w:t>
            </w: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20899</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其他社会保障和就业支出</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4.51</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4.51</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5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749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本年支出</w:t>
            </w:r>
          </w:p>
        </w:tc>
      </w:tr>
      <w:tr>
        <w:tblPrEx>
          <w:tblCellMar>
            <w:top w:w="0" w:type="dxa"/>
            <w:left w:w="108" w:type="dxa"/>
            <w:bottom w:w="0" w:type="dxa"/>
            <w:right w:w="108" w:type="dxa"/>
          </w:tblCellMar>
        </w:tblPrEx>
        <w:trPr>
          <w:trHeight w:val="629"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功能分类</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科目编码</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项目支出</w:t>
            </w:r>
          </w:p>
        </w:tc>
      </w:tr>
      <w:tr>
        <w:tblPrEx>
          <w:tblCellMar>
            <w:top w:w="0" w:type="dxa"/>
            <w:left w:w="108" w:type="dxa"/>
            <w:bottom w:w="0" w:type="dxa"/>
            <w:right w:w="108" w:type="dxa"/>
          </w:tblCellMar>
        </w:tblPrEx>
        <w:trPr>
          <w:trHeight w:val="629" w:hRule="exact"/>
          <w:jc w:val="center"/>
        </w:trPr>
        <w:tc>
          <w:tcPr>
            <w:tcW w:w="5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2089999</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其他社会保障和就业支出</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4.51</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4.51</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210</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卫生健康支出</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64.43</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64.43</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21011</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行政事业单位医疗</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64.43</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64.43</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2101102</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事业单位医疗</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39.67</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39.67</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2101103</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公务员医疗补助</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24.76</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24.76</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221</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住房保障支出</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4.04</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4.04</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22102</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住房改革支出</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4.04</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4.04</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2210201</w:t>
            </w:r>
          </w:p>
        </w:tc>
        <w:tc>
          <w:tcPr>
            <w:tcW w:w="39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住房公积金</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4.04</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r>
              <w:rPr>
                <w:rFonts w:hint="eastAsia" w:ascii="宋体" w:hAnsi="宋体" w:cs="宋体"/>
                <w:color w:val="000000"/>
                <w:kern w:val="0"/>
                <w:sz w:val="20"/>
                <w:szCs w:val="20"/>
                <w:lang w:bidi="ar"/>
              </w:rPr>
              <w:t>4.04</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仿宋_GB2312" w:hAnsi="宋体" w:eastAsia="仿宋_GB2312" w:cs="宋体"/>
                <w:kern w:val="0"/>
                <w:sz w:val="22"/>
                <w:szCs w:val="22"/>
              </w:rPr>
            </w:pPr>
          </w:p>
        </w:tc>
      </w:tr>
    </w:tbl>
    <w:p>
      <w:pPr>
        <w:spacing w:line="400" w:lineRule="exact"/>
        <w:ind w:firstLine="108" w:firstLineChars="50"/>
        <w:jc w:val="left"/>
        <w:rPr>
          <w:rFonts w:hint="eastAsia" w:ascii="仿宋_GB2312" w:hAnsi="宋体" w:eastAsia="仿宋_GB2312"/>
          <w:sz w:val="22"/>
          <w:szCs w:val="22"/>
        </w:rPr>
      </w:pPr>
      <w:r>
        <w:rPr>
          <w:rFonts w:hint="eastAsia" w:ascii="仿宋_GB2312" w:hAnsi="宋体" w:eastAsia="仿宋_GB2312"/>
          <w:sz w:val="22"/>
          <w:szCs w:val="22"/>
        </w:rPr>
        <w:t>注：本表反映单位本年度一般公共预算财政拨款支出情况。</w:t>
      </w:r>
    </w:p>
    <w:p>
      <w:pPr>
        <w:spacing w:line="400" w:lineRule="exact"/>
        <w:jc w:val="left"/>
        <w:rPr>
          <w:rFonts w:ascii="仿宋_GB2312" w:hAnsi="宋体" w:eastAsia="仿宋_GB2312"/>
          <w:sz w:val="22"/>
          <w:szCs w:val="22"/>
        </w:rPr>
        <w:sectPr>
          <w:pgSz w:w="16838" w:h="11906" w:orient="landscape"/>
          <w:pgMar w:top="1531" w:right="1701" w:bottom="1531" w:left="1701" w:header="0" w:footer="1418" w:gutter="0"/>
          <w:pgNumType w:fmt="numberInDash"/>
          <w:cols w:space="720" w:num="1"/>
          <w:docGrid w:type="linesAndChars" w:linePitch="610" w:charSpace="-849"/>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一般公共预算财政拨款基本支出决算表</w:t>
      </w:r>
    </w:p>
    <w:p>
      <w:pPr>
        <w:spacing w:line="400" w:lineRule="exact"/>
        <w:jc w:val="right"/>
        <w:rPr>
          <w:rFonts w:hint="eastAsia" w:ascii="楷体_GB2312" w:eastAsia="楷体_GB2312"/>
          <w:sz w:val="28"/>
          <w:szCs w:val="28"/>
        </w:rPr>
      </w:pPr>
      <w:r>
        <w:rPr>
          <w:rFonts w:hint="eastAsia" w:ascii="楷体_GB2312" w:eastAsia="楷体_GB2312"/>
          <w:sz w:val="28"/>
          <w:szCs w:val="28"/>
        </w:rPr>
        <w:t>公开06表</w:t>
      </w:r>
    </w:p>
    <w:p>
      <w:pPr>
        <w:spacing w:line="400" w:lineRule="exact"/>
        <w:ind w:firstLine="138" w:firstLineChars="50"/>
        <w:jc w:val="right"/>
        <w:rPr>
          <w:rFonts w:hint="eastAsia" w:ascii="楷体_GB2312" w:eastAsia="楷体_GB2312"/>
          <w:sz w:val="28"/>
          <w:szCs w:val="28"/>
        </w:rPr>
      </w:pPr>
      <w:r>
        <w:rPr>
          <w:rFonts w:hint="eastAsia" w:ascii="楷体_GB2312" w:eastAsia="楷体_GB2312"/>
          <w:sz w:val="28"/>
          <w:szCs w:val="28"/>
        </w:rPr>
        <w:t xml:space="preserve">单位： 泰安市社会福利院（泰安市儿童福利院）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10"/>
        <w:tblW w:w="0" w:type="auto"/>
        <w:jc w:val="center"/>
        <w:tblLayout w:type="fixed"/>
        <w:tblCellMar>
          <w:top w:w="0" w:type="dxa"/>
          <w:left w:w="108" w:type="dxa"/>
          <w:bottom w:w="0" w:type="dxa"/>
          <w:right w:w="108" w:type="dxa"/>
        </w:tblCellMar>
      </w:tblPr>
      <w:tblGrid>
        <w:gridCol w:w="1008"/>
        <w:gridCol w:w="3023"/>
        <w:gridCol w:w="972"/>
        <w:gridCol w:w="1013"/>
        <w:gridCol w:w="1984"/>
        <w:gridCol w:w="833"/>
        <w:gridCol w:w="1010"/>
        <w:gridCol w:w="2551"/>
        <w:gridCol w:w="881"/>
      </w:tblGrid>
      <w:tr>
        <w:tblPrEx>
          <w:tblCellMar>
            <w:top w:w="0" w:type="dxa"/>
            <w:left w:w="108" w:type="dxa"/>
            <w:bottom w:w="0" w:type="dxa"/>
            <w:right w:w="108" w:type="dxa"/>
          </w:tblCellMar>
        </w:tblPrEx>
        <w:trPr>
          <w:trHeight w:val="369" w:hRule="atLeast"/>
          <w:tblHeader/>
          <w:jc w:val="center"/>
        </w:trPr>
        <w:tc>
          <w:tcPr>
            <w:tcW w:w="5003" w:type="dxa"/>
            <w:gridSpan w:val="3"/>
            <w:tcBorders>
              <w:top w:val="single" w:color="auto" w:sz="8" w:space="0"/>
              <w:left w:val="single" w:color="auto" w:sz="8"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w:t>
            </w:r>
          </w:p>
        </w:tc>
        <w:tc>
          <w:tcPr>
            <w:tcW w:w="8272" w:type="dxa"/>
            <w:gridSpan w:val="6"/>
            <w:tcBorders>
              <w:top w:val="single" w:color="auto" w:sz="8" w:space="0"/>
              <w:left w:val="nil"/>
              <w:bottom w:val="single" w:color="auto" w:sz="4" w:space="0"/>
              <w:right w:val="single" w:color="000000"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公用经费</w:t>
            </w:r>
          </w:p>
        </w:tc>
      </w:tr>
      <w:tr>
        <w:tblPrEx>
          <w:tblCellMar>
            <w:top w:w="0" w:type="dxa"/>
            <w:left w:w="108" w:type="dxa"/>
            <w:bottom w:w="0" w:type="dxa"/>
            <w:right w:w="108" w:type="dxa"/>
          </w:tblCellMar>
        </w:tblPrEx>
        <w:trPr>
          <w:trHeight w:val="300" w:hRule="atLeast"/>
          <w:tblHeader/>
          <w:jc w:val="center"/>
        </w:trPr>
        <w:tc>
          <w:tcPr>
            <w:tcW w:w="1008" w:type="dxa"/>
            <w:vMerge w:val="restart"/>
            <w:tcBorders>
              <w:top w:val="nil"/>
              <w:left w:val="single" w:color="auto" w:sz="8"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科目编码</w:t>
            </w:r>
          </w:p>
        </w:tc>
        <w:tc>
          <w:tcPr>
            <w:tcW w:w="3023"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972"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金额</w:t>
            </w:r>
          </w:p>
        </w:tc>
        <w:tc>
          <w:tcPr>
            <w:tcW w:w="1013"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科目编码</w:t>
            </w:r>
          </w:p>
        </w:tc>
        <w:tc>
          <w:tcPr>
            <w:tcW w:w="1984"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33"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金额</w:t>
            </w:r>
          </w:p>
        </w:tc>
        <w:tc>
          <w:tcPr>
            <w:tcW w:w="101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科目编码</w:t>
            </w:r>
          </w:p>
        </w:tc>
        <w:tc>
          <w:tcPr>
            <w:tcW w:w="2551"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881" w:type="dxa"/>
            <w:vMerge w:val="restart"/>
            <w:tcBorders>
              <w:top w:val="nil"/>
              <w:left w:val="single" w:color="auto" w:sz="4" w:space="0"/>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金额</w:t>
            </w:r>
          </w:p>
        </w:tc>
      </w:tr>
      <w:tr>
        <w:tblPrEx>
          <w:tblCellMar>
            <w:top w:w="0" w:type="dxa"/>
            <w:left w:w="108" w:type="dxa"/>
            <w:bottom w:w="0" w:type="dxa"/>
            <w:right w:w="108" w:type="dxa"/>
          </w:tblCellMar>
        </w:tblPrEx>
        <w:trPr>
          <w:trHeight w:val="300" w:hRule="atLeast"/>
          <w:tblHeader/>
          <w:jc w:val="center"/>
        </w:trPr>
        <w:tc>
          <w:tcPr>
            <w:tcW w:w="1008" w:type="dxa"/>
            <w:vMerge w:val="continue"/>
            <w:tcBorders>
              <w:top w:val="nil"/>
              <w:left w:val="single" w:color="auto" w:sz="8"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color w:val="000000"/>
                <w:kern w:val="0"/>
                <w:sz w:val="22"/>
                <w:szCs w:val="22"/>
              </w:rPr>
            </w:pPr>
          </w:p>
        </w:tc>
        <w:tc>
          <w:tcPr>
            <w:tcW w:w="3023"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color w:val="000000"/>
                <w:kern w:val="0"/>
                <w:sz w:val="22"/>
                <w:szCs w:val="22"/>
              </w:rPr>
            </w:pPr>
          </w:p>
        </w:tc>
        <w:tc>
          <w:tcPr>
            <w:tcW w:w="97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color w:val="000000"/>
                <w:kern w:val="0"/>
                <w:sz w:val="22"/>
                <w:szCs w:val="22"/>
              </w:rPr>
            </w:pPr>
          </w:p>
        </w:tc>
        <w:tc>
          <w:tcPr>
            <w:tcW w:w="1013"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color w:val="000000"/>
                <w:kern w:val="0"/>
                <w:sz w:val="22"/>
                <w:szCs w:val="22"/>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color w:val="000000"/>
                <w:kern w:val="0"/>
                <w:sz w:val="22"/>
                <w:szCs w:val="22"/>
              </w:rPr>
            </w:pPr>
          </w:p>
        </w:tc>
        <w:tc>
          <w:tcPr>
            <w:tcW w:w="833"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color w:val="000000"/>
                <w:kern w:val="0"/>
                <w:sz w:val="22"/>
                <w:szCs w:val="22"/>
              </w:rPr>
            </w:pPr>
          </w:p>
        </w:tc>
        <w:tc>
          <w:tcPr>
            <w:tcW w:w="101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color w:val="000000"/>
                <w:kern w:val="0"/>
                <w:sz w:val="22"/>
                <w:szCs w:val="22"/>
              </w:rPr>
            </w:pPr>
          </w:p>
        </w:tc>
        <w:tc>
          <w:tcPr>
            <w:tcW w:w="2551"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color w:val="000000"/>
                <w:kern w:val="0"/>
                <w:sz w:val="22"/>
                <w:szCs w:val="22"/>
              </w:rPr>
            </w:pPr>
          </w:p>
        </w:tc>
        <w:tc>
          <w:tcPr>
            <w:tcW w:w="881" w:type="dxa"/>
            <w:vMerge w:val="continue"/>
            <w:tcBorders>
              <w:top w:val="nil"/>
              <w:left w:val="single" w:color="auto" w:sz="4" w:space="0"/>
              <w:bottom w:val="single" w:color="auto" w:sz="4" w:space="0"/>
              <w:right w:val="single" w:color="auto" w:sz="8" w:space="0"/>
            </w:tcBorders>
            <w:noWrap w:val="0"/>
            <w:vAlign w:val="center"/>
          </w:tcPr>
          <w:p>
            <w:pPr>
              <w:widowControl/>
              <w:spacing w:line="300" w:lineRule="exact"/>
              <w:jc w:val="left"/>
              <w:rPr>
                <w:rFonts w:hint="eastAsia"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工资福利支出</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856.32</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商品和服务支出</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125.67</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债务利息及费用支出</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30101</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212.97</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30201</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6.24</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30701</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国内债务付息</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30102</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212.14</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30202</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印刷费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3.14</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30702</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国外债务付息</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30103</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奖金</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165.15</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30203</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咨询费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30703</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国内债务发行费用</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30106</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伙食补助费</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30204</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手续费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30704</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国外债务发行费用</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30107</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绩效工资</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30205</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1.00</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资本性支出</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30108</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65.61</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30206</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1.00</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31001</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房屋建筑物购建</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30109</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职业年金缴费</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6.12</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30207</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邮电费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1.23</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31002</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办公设备购置</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30110</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职工基本医疗保险缴费</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39.67</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30208</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取暖费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70.60</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31003</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专用设备购置</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30111</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公务员医疗补助缴费</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24.76</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30209</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物业管理费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31005</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基础设施建设</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30112</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其他社会保障缴费</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4.51</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30211</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差旅费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1.66</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31006</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大型修缮</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30113</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住房公积金</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53.14</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30212</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因公出国（境）费用</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31007</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信息网络及软件购置更新</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30114</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30213</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维修(护)费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4.05</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31008</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物资储备</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30199</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其他工资福利支出</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72.23</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30214</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租赁费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31009</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土地补偿</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对个人和家庭的补助</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144.72</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30215</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会议费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31010</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安置补助</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30301</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离休费</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22.50</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30216</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培训费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0.40</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31011</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地上附着物和青苗补偿</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9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30302</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退休费</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30217</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公务接待费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31012</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拆迁补偿</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30303</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退职（役）费</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856.32</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30218</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专用材料费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31013</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公务用车购置</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30304</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抚恤金</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19.11</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30224</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被装购置费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31019</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其他交通工具购置</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30305</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生活补助</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94.97</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30225</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专用燃料费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31021</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文物和陈列品购置</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30306</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救济费</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30226</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劳务费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1.68</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31022</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无形资产购置</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30307</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医疗费补助</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30227</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委托业务费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31099</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其他资本性支出</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30308</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助学金</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30228</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工会经费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8.60</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对企业补助</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30309</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奖励金</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30229</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1.09</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31201</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资本金注入</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30310</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个人农业生产补贴</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30231</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公务用车运行维护费</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2.38</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31203</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政府投资基金股权投资</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30311</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代缴社会保险费</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30239</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其他交通费用</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2.44</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31204</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费用补贴</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30399</w:t>
            </w: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其他对个人和家庭的补助</w:t>
            </w:r>
          </w:p>
        </w:tc>
        <w:tc>
          <w:tcPr>
            <w:tcW w:w="972"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8.05</w:t>
            </w: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30240</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税金及附加费用</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0.09</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31205</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利息补贴</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972"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30299</w:t>
            </w: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其他商品和服务支出</w:t>
            </w:r>
          </w:p>
        </w:tc>
        <w:tc>
          <w:tcPr>
            <w:tcW w:w="833"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20.06</w:t>
            </w: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31299</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其他对企业补助</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972"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972"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39906</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赠与</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noWrap w:val="0"/>
            <w:vAlign w:val="center"/>
          </w:tcPr>
          <w:p>
            <w:pPr>
              <w:widowControl/>
              <w:spacing w:line="300" w:lineRule="exact"/>
              <w:jc w:val="right"/>
              <w:rPr>
                <w:rFonts w:ascii="仿宋_GB2312" w:hAnsi="宋体" w:eastAsia="仿宋_GB2312" w:cs="宋体"/>
                <w:color w:val="000000"/>
                <w:kern w:val="0"/>
                <w:sz w:val="20"/>
                <w:szCs w:val="20"/>
              </w:rPr>
            </w:pPr>
          </w:p>
        </w:tc>
        <w:tc>
          <w:tcPr>
            <w:tcW w:w="972"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39907</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国家赔偿费用支出</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jc w:val="right"/>
              <w:rPr>
                <w:rFonts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noWrap w:val="0"/>
            <w:vAlign w:val="center"/>
          </w:tcPr>
          <w:p>
            <w:pPr>
              <w:widowControl/>
              <w:spacing w:line="300" w:lineRule="exact"/>
              <w:jc w:val="right"/>
              <w:rPr>
                <w:rFonts w:ascii="仿宋_GB2312" w:hAnsi="宋体" w:eastAsia="仿宋_GB2312" w:cs="宋体"/>
                <w:color w:val="000000"/>
                <w:kern w:val="0"/>
                <w:sz w:val="20"/>
                <w:szCs w:val="20"/>
              </w:rPr>
            </w:pPr>
          </w:p>
        </w:tc>
        <w:tc>
          <w:tcPr>
            <w:tcW w:w="972"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39908</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对民间非营利组织和群众性自治组织补贴</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3023"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972"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1013"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1984"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p>
        </w:tc>
        <w:tc>
          <w:tcPr>
            <w:tcW w:w="833"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color w:val="000000"/>
                <w:kern w:val="0"/>
                <w:sz w:val="20"/>
                <w:szCs w:val="20"/>
              </w:rPr>
            </w:pPr>
          </w:p>
        </w:tc>
        <w:tc>
          <w:tcPr>
            <w:tcW w:w="1010"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39999</w:t>
            </w:r>
          </w:p>
        </w:tc>
        <w:tc>
          <w:tcPr>
            <w:tcW w:w="2551" w:type="dxa"/>
            <w:tcBorders>
              <w:top w:val="nil"/>
              <w:left w:val="nil"/>
              <w:bottom w:val="single" w:color="auto" w:sz="4" w:space="0"/>
              <w:right w:val="single" w:color="auto" w:sz="4" w:space="0"/>
            </w:tcBorders>
            <w:noWrap w:val="0"/>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881" w:type="dxa"/>
            <w:tcBorders>
              <w:top w:val="nil"/>
              <w:left w:val="nil"/>
              <w:bottom w:val="single" w:color="auto" w:sz="4" w:space="0"/>
              <w:right w:val="single" w:color="auto" w:sz="8"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20" w:hRule="atLeast"/>
          <w:jc w:val="center"/>
        </w:trPr>
        <w:tc>
          <w:tcPr>
            <w:tcW w:w="4031" w:type="dxa"/>
            <w:gridSpan w:val="2"/>
            <w:tcBorders>
              <w:top w:val="single" w:color="auto" w:sz="4" w:space="0"/>
              <w:left w:val="single" w:color="auto" w:sz="8" w:space="0"/>
              <w:bottom w:val="single" w:color="auto" w:sz="8"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人员经费合计</w:t>
            </w:r>
          </w:p>
        </w:tc>
        <w:tc>
          <w:tcPr>
            <w:tcW w:w="972" w:type="dxa"/>
            <w:tcBorders>
              <w:top w:val="nil"/>
              <w:left w:val="nil"/>
              <w:bottom w:val="single" w:color="auto" w:sz="8"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1001.04</w:t>
            </w:r>
          </w:p>
        </w:tc>
        <w:tc>
          <w:tcPr>
            <w:tcW w:w="7391" w:type="dxa"/>
            <w:gridSpan w:val="5"/>
            <w:tcBorders>
              <w:top w:val="single" w:color="auto" w:sz="4" w:space="0"/>
              <w:left w:val="nil"/>
              <w:bottom w:val="single" w:color="auto" w:sz="8" w:space="0"/>
              <w:right w:val="single" w:color="auto" w:sz="4" w:space="0"/>
            </w:tcBorders>
            <w:noWrap w:val="0"/>
            <w:vAlign w:val="center"/>
          </w:tcPr>
          <w:p>
            <w:pPr>
              <w:widowControl/>
              <w:spacing w:line="30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公用经费合计</w:t>
            </w:r>
          </w:p>
        </w:tc>
        <w:tc>
          <w:tcPr>
            <w:tcW w:w="881" w:type="dxa"/>
            <w:tcBorders>
              <w:top w:val="nil"/>
              <w:left w:val="nil"/>
              <w:bottom w:val="single" w:color="auto" w:sz="8" w:space="0"/>
              <w:right w:val="single" w:color="auto" w:sz="8" w:space="0"/>
            </w:tcBorders>
            <w:noWrap w:val="0"/>
            <w:vAlign w:val="center"/>
          </w:tcPr>
          <w:p>
            <w:pPr>
              <w:widowControl/>
              <w:spacing w:line="300" w:lineRule="exact"/>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125.67</w:t>
            </w:r>
          </w:p>
        </w:tc>
      </w:tr>
    </w:tbl>
    <w:p>
      <w:pPr>
        <w:spacing w:line="400" w:lineRule="exact"/>
        <w:ind w:firstLine="108" w:firstLineChars="50"/>
        <w:jc w:val="left"/>
        <w:rPr>
          <w:rFonts w:hint="eastAsia" w:ascii="仿宋_GB2312" w:hAnsi="宋体" w:eastAsia="仿宋_GB2312"/>
          <w:sz w:val="22"/>
          <w:szCs w:val="22"/>
        </w:rPr>
      </w:pPr>
      <w:r>
        <w:rPr>
          <w:rFonts w:hint="eastAsia" w:ascii="仿宋_GB2312" w:hAnsi="宋体" w:eastAsia="仿宋_GB2312"/>
          <w:sz w:val="22"/>
          <w:szCs w:val="22"/>
        </w:rPr>
        <w:t>注:本表反映单位本年度一般公共预算财政拨款基本支出明细情况。</w:t>
      </w:r>
    </w:p>
    <w:p>
      <w:pPr>
        <w:rPr>
          <w:rFonts w:hint="eastAsia" w:ascii="仿宋_GB2312" w:hAnsi="宋体" w:eastAsia="仿宋_GB2312"/>
          <w:sz w:val="22"/>
          <w:szCs w:val="22"/>
        </w:rPr>
        <w:sectPr>
          <w:pgSz w:w="16838" w:h="11906" w:orient="landscape"/>
          <w:pgMar w:top="1531" w:right="1701" w:bottom="1531" w:left="1701" w:header="0" w:footer="1418" w:gutter="0"/>
          <w:pgNumType w:fmt="numberInDash"/>
          <w:cols w:space="720" w:num="1"/>
          <w:docGrid w:type="linesAndChars" w:linePitch="610" w:charSpace="-849"/>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一般公共预算财政拨款“三公”经费支出决算表</w:t>
      </w:r>
    </w:p>
    <w:p>
      <w:pPr>
        <w:wordWrap w:val="0"/>
        <w:spacing w:line="400" w:lineRule="exact"/>
        <w:jc w:val="right"/>
        <w:rPr>
          <w:rFonts w:hint="eastAsia" w:ascii="楷体_GB2312" w:eastAsia="楷体_GB2312"/>
          <w:sz w:val="28"/>
          <w:szCs w:val="28"/>
        </w:rPr>
      </w:pPr>
      <w:r>
        <w:rPr>
          <w:rFonts w:hint="eastAsia" w:ascii="方正小标宋简体" w:eastAsia="方正小标宋简体"/>
          <w:sz w:val="44"/>
          <w:szCs w:val="44"/>
        </w:rPr>
        <w:t>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公开07表</w:t>
      </w:r>
    </w:p>
    <w:p>
      <w:pPr>
        <w:spacing w:line="400" w:lineRule="exact"/>
        <w:ind w:firstLine="138" w:firstLineChars="50"/>
        <w:jc w:val="right"/>
        <w:rPr>
          <w:rFonts w:hint="eastAsia" w:ascii="楷体_GB2312" w:eastAsia="楷体_GB2312"/>
          <w:sz w:val="28"/>
          <w:szCs w:val="28"/>
        </w:rPr>
      </w:pPr>
      <w:r>
        <w:rPr>
          <w:rFonts w:hint="eastAsia" w:ascii="楷体_GB2312" w:eastAsia="楷体_GB2312"/>
          <w:sz w:val="28"/>
          <w:szCs w:val="28"/>
        </w:rPr>
        <w:t xml:space="preserve">单位：泰安市社会福利院（泰安市儿童福利院）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10"/>
        <w:tblW w:w="0" w:type="auto"/>
        <w:jc w:val="center"/>
        <w:tblLayout w:type="fixed"/>
        <w:tblCellMar>
          <w:top w:w="0" w:type="dxa"/>
          <w:left w:w="108" w:type="dxa"/>
          <w:bottom w:w="0" w:type="dxa"/>
          <w:right w:w="108" w:type="dxa"/>
        </w:tblCellMar>
      </w:tblPr>
      <w:tblGrid>
        <w:gridCol w:w="1179"/>
        <w:gridCol w:w="1195"/>
        <w:gridCol w:w="1180"/>
        <w:gridCol w:w="1180"/>
        <w:gridCol w:w="1272"/>
        <w:gridCol w:w="878"/>
        <w:gridCol w:w="1098"/>
        <w:gridCol w:w="1143"/>
        <w:gridCol w:w="851"/>
        <w:gridCol w:w="1132"/>
        <w:gridCol w:w="1164"/>
        <w:gridCol w:w="984"/>
      </w:tblGrid>
      <w:tr>
        <w:tblPrEx>
          <w:tblCellMar>
            <w:top w:w="0" w:type="dxa"/>
            <w:left w:w="108" w:type="dxa"/>
            <w:bottom w:w="0" w:type="dxa"/>
            <w:right w:w="108" w:type="dxa"/>
          </w:tblCellMar>
        </w:tblPrEx>
        <w:trPr>
          <w:trHeight w:val="862" w:hRule="atLeast"/>
          <w:jc w:val="center"/>
        </w:trPr>
        <w:tc>
          <w:tcPr>
            <w:tcW w:w="6884" w:type="dxa"/>
            <w:gridSpan w:val="6"/>
            <w:tcBorders>
              <w:top w:val="single" w:color="auto" w:sz="8" w:space="0"/>
              <w:left w:val="single" w:color="auto" w:sz="8" w:space="0"/>
              <w:bottom w:val="single" w:color="auto" w:sz="4" w:space="0"/>
              <w:right w:val="single" w:color="000000" w:sz="8"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预 算 数</w:t>
            </w:r>
          </w:p>
        </w:tc>
        <w:tc>
          <w:tcPr>
            <w:tcW w:w="6372" w:type="dxa"/>
            <w:gridSpan w:val="6"/>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决 算 数　</w:t>
            </w:r>
          </w:p>
        </w:tc>
      </w:tr>
      <w:tr>
        <w:tblPrEx>
          <w:tblCellMar>
            <w:top w:w="0" w:type="dxa"/>
            <w:left w:w="108" w:type="dxa"/>
            <w:bottom w:w="0" w:type="dxa"/>
            <w:right w:w="108" w:type="dxa"/>
          </w:tblCellMar>
        </w:tblPrEx>
        <w:trPr>
          <w:trHeight w:val="862" w:hRule="atLeast"/>
          <w:jc w:val="center"/>
        </w:trPr>
        <w:tc>
          <w:tcPr>
            <w:tcW w:w="1179" w:type="dxa"/>
            <w:vMerge w:val="restart"/>
            <w:tcBorders>
              <w:top w:val="nil"/>
              <w:left w:val="single" w:color="auto" w:sz="8"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119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因公出国（境）费</w:t>
            </w:r>
          </w:p>
        </w:tc>
        <w:tc>
          <w:tcPr>
            <w:tcW w:w="3632"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公务用车购置及运行维护费</w:t>
            </w:r>
          </w:p>
        </w:tc>
        <w:tc>
          <w:tcPr>
            <w:tcW w:w="878" w:type="dxa"/>
            <w:vMerge w:val="restart"/>
            <w:tcBorders>
              <w:top w:val="nil"/>
              <w:left w:val="single" w:color="auto" w:sz="4" w:space="0"/>
              <w:bottom w:val="single" w:color="auto" w:sz="4" w:space="0"/>
              <w:right w:val="single" w:color="000000" w:sz="8"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接待费</w:t>
            </w:r>
          </w:p>
        </w:tc>
        <w:tc>
          <w:tcPr>
            <w:tcW w:w="1098"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1143"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因公出国（境）费</w:t>
            </w:r>
          </w:p>
        </w:tc>
        <w:tc>
          <w:tcPr>
            <w:tcW w:w="3147"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公务用车购置及运行维护费</w:t>
            </w:r>
          </w:p>
        </w:tc>
        <w:tc>
          <w:tcPr>
            <w:tcW w:w="984"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w:t>
            </w:r>
          </w:p>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接待费</w:t>
            </w:r>
          </w:p>
        </w:tc>
      </w:tr>
      <w:tr>
        <w:tblPrEx>
          <w:tblCellMar>
            <w:top w:w="0" w:type="dxa"/>
            <w:left w:w="108" w:type="dxa"/>
            <w:bottom w:w="0" w:type="dxa"/>
            <w:right w:w="108" w:type="dxa"/>
          </w:tblCellMar>
        </w:tblPrEx>
        <w:trPr>
          <w:trHeight w:val="862" w:hRule="atLeast"/>
          <w:jc w:val="center"/>
        </w:trPr>
        <w:tc>
          <w:tcPr>
            <w:tcW w:w="1179" w:type="dxa"/>
            <w:vMerge w:val="continue"/>
            <w:tcBorders>
              <w:top w:val="nil"/>
              <w:left w:val="single" w:color="auto" w:sz="8" w:space="0"/>
              <w:bottom w:val="single" w:color="auto" w:sz="4" w:space="0"/>
              <w:right w:val="single" w:color="auto" w:sz="4" w:space="0"/>
            </w:tcBorders>
            <w:shd w:val="clear" w:color="auto" w:fill="auto"/>
            <w:noWrap w:val="0"/>
            <w:vAlign w:val="center"/>
          </w:tcPr>
          <w:p>
            <w:pPr>
              <w:widowControl/>
              <w:spacing w:line="300" w:lineRule="exact"/>
              <w:jc w:val="left"/>
              <w:rPr>
                <w:rFonts w:hint="eastAsia" w:ascii="仿宋_GB2312" w:hAnsi="宋体" w:eastAsia="仿宋_GB2312" w:cs="宋体"/>
                <w:kern w:val="0"/>
                <w:sz w:val="22"/>
                <w:szCs w:val="22"/>
              </w:rPr>
            </w:pPr>
          </w:p>
        </w:tc>
        <w:tc>
          <w:tcPr>
            <w:tcW w:w="1195"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00" w:lineRule="exact"/>
              <w:jc w:val="left"/>
              <w:rPr>
                <w:rFonts w:hint="eastAsia" w:ascii="仿宋_GB2312" w:hAnsi="宋体" w:eastAsia="仿宋_GB2312" w:cs="宋体"/>
                <w:kern w:val="0"/>
                <w:sz w:val="22"/>
                <w:szCs w:val="22"/>
              </w:rPr>
            </w:pPr>
          </w:p>
        </w:tc>
        <w:tc>
          <w:tcPr>
            <w:tcW w:w="118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180"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公务用车购置费</w:t>
            </w:r>
          </w:p>
        </w:tc>
        <w:tc>
          <w:tcPr>
            <w:tcW w:w="1272" w:type="dxa"/>
            <w:tcBorders>
              <w:top w:val="nil"/>
              <w:left w:val="nil"/>
              <w:bottom w:val="single" w:color="auto" w:sz="4"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公务用车运行维护费</w:t>
            </w:r>
          </w:p>
        </w:tc>
        <w:tc>
          <w:tcPr>
            <w:tcW w:w="878" w:type="dxa"/>
            <w:vMerge w:val="continue"/>
            <w:tcBorders>
              <w:top w:val="nil"/>
              <w:left w:val="single" w:color="auto" w:sz="4" w:space="0"/>
              <w:bottom w:val="single" w:color="auto" w:sz="4" w:space="0"/>
              <w:right w:val="single" w:color="000000" w:sz="8" w:space="0"/>
            </w:tcBorders>
            <w:shd w:val="clear" w:color="auto" w:fill="auto"/>
            <w:noWrap w:val="0"/>
            <w:vAlign w:val="center"/>
          </w:tcPr>
          <w:p>
            <w:pPr>
              <w:widowControl/>
              <w:spacing w:line="300" w:lineRule="exact"/>
              <w:jc w:val="left"/>
              <w:rPr>
                <w:rFonts w:hint="eastAsia" w:ascii="仿宋_GB2312" w:hAnsi="宋体" w:eastAsia="仿宋_GB2312" w:cs="宋体"/>
                <w:kern w:val="0"/>
                <w:sz w:val="22"/>
                <w:szCs w:val="22"/>
              </w:rPr>
            </w:pPr>
          </w:p>
        </w:tc>
        <w:tc>
          <w:tcPr>
            <w:tcW w:w="1098"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jc w:val="left"/>
              <w:rPr>
                <w:rFonts w:hint="eastAsia" w:ascii="仿宋_GB2312" w:hAnsi="宋体" w:eastAsia="仿宋_GB2312" w:cs="宋体"/>
                <w:kern w:val="0"/>
                <w:sz w:val="22"/>
                <w:szCs w:val="22"/>
              </w:rPr>
            </w:pPr>
          </w:p>
        </w:tc>
        <w:tc>
          <w:tcPr>
            <w:tcW w:w="1143"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spacing w:line="300" w:lineRule="exact"/>
              <w:jc w:val="left"/>
              <w:rPr>
                <w:rFonts w:hint="eastAsia" w:ascii="仿宋_GB2312" w:hAnsi="宋体" w:eastAsia="仿宋_GB2312" w:cs="宋体"/>
                <w:kern w:val="0"/>
                <w:sz w:val="22"/>
                <w:szCs w:val="22"/>
              </w:rPr>
            </w:pPr>
          </w:p>
        </w:tc>
        <w:tc>
          <w:tcPr>
            <w:tcW w:w="85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公务用车购置费</w:t>
            </w:r>
          </w:p>
        </w:tc>
        <w:tc>
          <w:tcPr>
            <w:tcW w:w="116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公务用车运行维护费</w:t>
            </w:r>
          </w:p>
        </w:tc>
        <w:tc>
          <w:tcPr>
            <w:tcW w:w="984"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623" w:hRule="atLeast"/>
          <w:jc w:val="center"/>
        </w:trPr>
        <w:tc>
          <w:tcPr>
            <w:tcW w:w="1179" w:type="dxa"/>
            <w:tcBorders>
              <w:top w:val="nil"/>
              <w:left w:val="single" w:color="auto" w:sz="8" w:space="0"/>
              <w:bottom w:val="single" w:color="auto" w:sz="8"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195" w:type="dxa"/>
            <w:tcBorders>
              <w:top w:val="nil"/>
              <w:left w:val="nil"/>
              <w:bottom w:val="single" w:color="auto" w:sz="8"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180" w:type="dxa"/>
            <w:tcBorders>
              <w:top w:val="nil"/>
              <w:left w:val="nil"/>
              <w:bottom w:val="single" w:color="auto" w:sz="8"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180" w:type="dxa"/>
            <w:tcBorders>
              <w:top w:val="nil"/>
              <w:left w:val="nil"/>
              <w:bottom w:val="single" w:color="auto" w:sz="8"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272" w:type="dxa"/>
            <w:tcBorders>
              <w:top w:val="nil"/>
              <w:left w:val="nil"/>
              <w:bottom w:val="single" w:color="auto" w:sz="8" w:space="0"/>
              <w:right w:val="single" w:color="auto" w:sz="4"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878" w:type="dxa"/>
            <w:tcBorders>
              <w:top w:val="nil"/>
              <w:left w:val="nil"/>
              <w:bottom w:val="single" w:color="auto" w:sz="8" w:space="0"/>
              <w:right w:val="single" w:color="000000" w:sz="8" w:space="0"/>
            </w:tcBorders>
            <w:shd w:val="clear" w:color="auto" w:fill="auto"/>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w:t>
            </w:r>
          </w:p>
        </w:tc>
        <w:tc>
          <w:tcPr>
            <w:tcW w:w="109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7</w:t>
            </w:r>
          </w:p>
        </w:tc>
        <w:tc>
          <w:tcPr>
            <w:tcW w:w="114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8</w:t>
            </w:r>
          </w:p>
        </w:tc>
        <w:tc>
          <w:tcPr>
            <w:tcW w:w="85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9</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10</w:t>
            </w:r>
          </w:p>
        </w:tc>
        <w:tc>
          <w:tcPr>
            <w:tcW w:w="116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11</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12</w:t>
            </w:r>
          </w:p>
        </w:tc>
      </w:tr>
      <w:tr>
        <w:tblPrEx>
          <w:tblCellMar>
            <w:top w:w="0" w:type="dxa"/>
            <w:left w:w="108" w:type="dxa"/>
            <w:bottom w:w="0" w:type="dxa"/>
            <w:right w:w="108" w:type="dxa"/>
          </w:tblCellMar>
        </w:tblPrEx>
        <w:trPr>
          <w:trHeight w:val="1296" w:hRule="atLeast"/>
          <w:jc w:val="center"/>
        </w:trPr>
        <w:tc>
          <w:tcPr>
            <w:tcW w:w="1179" w:type="dxa"/>
            <w:tcBorders>
              <w:top w:val="nil"/>
              <w:left w:val="single" w:color="auto" w:sz="8" w:space="0"/>
              <w:bottom w:val="single" w:color="auto" w:sz="8" w:space="0"/>
              <w:right w:val="single" w:color="auto" w:sz="4" w:space="0"/>
            </w:tcBorders>
            <w:shd w:val="clear" w:color="auto" w:fill="auto"/>
            <w:noWrap w:val="0"/>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宋体" w:hAnsi="宋体" w:cs="宋体"/>
                <w:color w:val="000000"/>
                <w:kern w:val="0"/>
                <w:sz w:val="20"/>
                <w:szCs w:val="20"/>
                <w:lang w:bidi="ar"/>
              </w:rPr>
              <w:t>7.40</w:t>
            </w:r>
          </w:p>
        </w:tc>
        <w:tc>
          <w:tcPr>
            <w:tcW w:w="1195" w:type="dxa"/>
            <w:tcBorders>
              <w:top w:val="nil"/>
              <w:left w:val="nil"/>
              <w:bottom w:val="single" w:color="auto" w:sz="8" w:space="0"/>
              <w:right w:val="single" w:color="auto" w:sz="4" w:space="0"/>
            </w:tcBorders>
            <w:shd w:val="clear" w:color="auto" w:fill="auto"/>
            <w:noWrap w:val="0"/>
            <w:vAlign w:val="center"/>
          </w:tcPr>
          <w:p>
            <w:pPr>
              <w:widowControl/>
              <w:jc w:val="center"/>
              <w:textAlignment w:val="center"/>
              <w:rPr>
                <w:rFonts w:hint="eastAsia" w:ascii="仿宋_GB2312" w:hAnsi="宋体" w:eastAsia="仿宋_GB2312" w:cs="宋体"/>
                <w:color w:val="000000"/>
                <w:kern w:val="0"/>
                <w:sz w:val="20"/>
                <w:szCs w:val="20"/>
              </w:rPr>
            </w:pPr>
          </w:p>
        </w:tc>
        <w:tc>
          <w:tcPr>
            <w:tcW w:w="1180" w:type="dxa"/>
            <w:tcBorders>
              <w:top w:val="nil"/>
              <w:left w:val="nil"/>
              <w:bottom w:val="single" w:color="auto" w:sz="8" w:space="0"/>
              <w:right w:val="single" w:color="auto" w:sz="4" w:space="0"/>
            </w:tcBorders>
            <w:shd w:val="clear" w:color="auto" w:fill="auto"/>
            <w:noWrap w:val="0"/>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宋体" w:hAnsi="宋体" w:cs="宋体"/>
                <w:color w:val="000000"/>
                <w:kern w:val="0"/>
                <w:sz w:val="20"/>
                <w:szCs w:val="20"/>
                <w:lang w:bidi="ar"/>
              </w:rPr>
              <w:t>6.00</w:t>
            </w:r>
          </w:p>
        </w:tc>
        <w:tc>
          <w:tcPr>
            <w:tcW w:w="1180" w:type="dxa"/>
            <w:tcBorders>
              <w:top w:val="nil"/>
              <w:left w:val="nil"/>
              <w:bottom w:val="single" w:color="auto" w:sz="8" w:space="0"/>
              <w:right w:val="single" w:color="auto" w:sz="4" w:space="0"/>
            </w:tcBorders>
            <w:shd w:val="clear" w:color="auto" w:fill="auto"/>
            <w:noWrap w:val="0"/>
            <w:vAlign w:val="center"/>
          </w:tcPr>
          <w:p>
            <w:pPr>
              <w:widowControl/>
              <w:jc w:val="center"/>
              <w:textAlignment w:val="center"/>
              <w:rPr>
                <w:rFonts w:hint="eastAsia" w:ascii="仿宋_GB2312" w:hAnsi="宋体" w:eastAsia="仿宋_GB2312" w:cs="宋体"/>
                <w:color w:val="000000"/>
                <w:kern w:val="0"/>
                <w:sz w:val="20"/>
                <w:szCs w:val="20"/>
              </w:rPr>
            </w:pPr>
          </w:p>
        </w:tc>
        <w:tc>
          <w:tcPr>
            <w:tcW w:w="1272" w:type="dxa"/>
            <w:tcBorders>
              <w:top w:val="nil"/>
              <w:left w:val="nil"/>
              <w:bottom w:val="single" w:color="auto" w:sz="8" w:space="0"/>
              <w:right w:val="single" w:color="auto" w:sz="4" w:space="0"/>
            </w:tcBorders>
            <w:shd w:val="clear" w:color="auto" w:fill="auto"/>
            <w:noWrap w:val="0"/>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宋体" w:hAnsi="宋体" w:cs="宋体"/>
                <w:color w:val="000000"/>
                <w:kern w:val="0"/>
                <w:sz w:val="20"/>
                <w:szCs w:val="20"/>
                <w:lang w:bidi="ar"/>
              </w:rPr>
              <w:t>6.00</w:t>
            </w:r>
          </w:p>
        </w:tc>
        <w:tc>
          <w:tcPr>
            <w:tcW w:w="878" w:type="dxa"/>
            <w:tcBorders>
              <w:top w:val="nil"/>
              <w:left w:val="nil"/>
              <w:bottom w:val="single" w:color="auto" w:sz="8" w:space="0"/>
              <w:right w:val="single" w:color="000000" w:sz="8" w:space="0"/>
            </w:tcBorders>
            <w:shd w:val="clear" w:color="auto" w:fill="auto"/>
            <w:noWrap w:val="0"/>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宋体" w:hAnsi="宋体" w:cs="宋体"/>
                <w:color w:val="000000"/>
                <w:kern w:val="0"/>
                <w:sz w:val="20"/>
                <w:szCs w:val="20"/>
                <w:lang w:bidi="ar"/>
              </w:rPr>
              <w:t>1.40</w:t>
            </w:r>
          </w:p>
        </w:tc>
        <w:tc>
          <w:tcPr>
            <w:tcW w:w="109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宋体" w:hAnsi="宋体" w:cs="宋体"/>
                <w:color w:val="000000"/>
                <w:kern w:val="0"/>
                <w:sz w:val="20"/>
                <w:szCs w:val="20"/>
                <w:lang w:bidi="ar"/>
              </w:rPr>
              <w:t>2.56</w:t>
            </w:r>
          </w:p>
        </w:tc>
        <w:tc>
          <w:tcPr>
            <w:tcW w:w="114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eastAsia" w:ascii="仿宋_GB2312" w:hAnsi="宋体" w:eastAsia="仿宋_GB2312" w:cs="宋体"/>
                <w:color w:val="000000"/>
                <w:kern w:val="0"/>
                <w:sz w:val="20"/>
                <w:szCs w:val="20"/>
              </w:rPr>
            </w:pPr>
          </w:p>
        </w:tc>
        <w:tc>
          <w:tcPr>
            <w:tcW w:w="851"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宋体" w:hAnsi="宋体" w:cs="宋体"/>
                <w:color w:val="000000"/>
                <w:kern w:val="0"/>
                <w:sz w:val="20"/>
                <w:szCs w:val="20"/>
                <w:lang w:bidi="ar"/>
              </w:rPr>
              <w:t>2.38</w:t>
            </w:r>
          </w:p>
        </w:tc>
        <w:tc>
          <w:tcPr>
            <w:tcW w:w="1132"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仿宋_GB2312" w:hAnsi="宋体" w:eastAsia="仿宋_GB2312" w:cs="宋体"/>
                <w:color w:val="000000"/>
                <w:kern w:val="0"/>
                <w:sz w:val="20"/>
                <w:szCs w:val="20"/>
              </w:rPr>
            </w:pPr>
          </w:p>
        </w:tc>
        <w:tc>
          <w:tcPr>
            <w:tcW w:w="1164"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宋体" w:hAnsi="宋体" w:cs="宋体"/>
                <w:color w:val="000000"/>
                <w:kern w:val="0"/>
                <w:sz w:val="20"/>
                <w:szCs w:val="20"/>
                <w:lang w:bidi="ar"/>
              </w:rPr>
              <w:t>2.38</w:t>
            </w:r>
          </w:p>
        </w:tc>
        <w:tc>
          <w:tcPr>
            <w:tcW w:w="984"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仿宋_GB2312" w:hAnsi="宋体" w:eastAsia="仿宋_GB2312" w:cs="宋体"/>
                <w:color w:val="000000"/>
                <w:kern w:val="0"/>
                <w:sz w:val="20"/>
                <w:szCs w:val="20"/>
              </w:rPr>
            </w:pPr>
            <w:r>
              <w:rPr>
                <w:rFonts w:hint="eastAsia" w:ascii="宋体" w:hAnsi="宋体" w:cs="宋体"/>
                <w:color w:val="000000"/>
                <w:kern w:val="0"/>
                <w:sz w:val="20"/>
                <w:szCs w:val="20"/>
                <w:lang w:bidi="ar"/>
              </w:rPr>
              <w:t>0.18</w:t>
            </w:r>
          </w:p>
        </w:tc>
      </w:tr>
    </w:tbl>
    <w:p>
      <w:pPr>
        <w:spacing w:line="360" w:lineRule="exact"/>
        <w:ind w:firstLine="108" w:firstLineChars="50"/>
        <w:rPr>
          <w:rFonts w:hint="eastAsia" w:ascii="仿宋_GB2312" w:hAnsi="宋体" w:eastAsia="仿宋_GB2312"/>
          <w:sz w:val="22"/>
          <w:szCs w:val="22"/>
        </w:rPr>
      </w:pPr>
      <w:r>
        <w:rPr>
          <w:rFonts w:hint="eastAsia" w:ascii="仿宋_GB2312" w:hAnsi="宋体" w:eastAsia="仿宋_GB2312"/>
          <w:sz w:val="22"/>
          <w:szCs w:val="22"/>
        </w:rPr>
        <w:t>注：本表反映单位本年度“三公”经费支出预决算情况。其中，预算数为“三公”经费年初预算数；决算数是包括当年一般公共预算财政拨款和以前年度结转资金安排的实际支出。</w:t>
      </w:r>
    </w:p>
    <w:p>
      <w:pPr>
        <w:spacing w:line="440" w:lineRule="exact"/>
        <w:ind w:firstLine="108" w:firstLineChars="50"/>
        <w:rPr>
          <w:rFonts w:hint="eastAsia" w:ascii="仿宋_GB2312" w:hAnsi="宋体" w:eastAsia="仿宋_GB2312"/>
          <w:sz w:val="22"/>
          <w:szCs w:val="22"/>
        </w:rPr>
      </w:pPr>
    </w:p>
    <w:p>
      <w:pPr>
        <w:ind w:firstLine="108" w:firstLineChars="50"/>
        <w:rPr>
          <w:rFonts w:ascii="仿宋_GB2312" w:hAnsi="宋体" w:eastAsia="仿宋_GB2312"/>
          <w:sz w:val="22"/>
          <w:szCs w:val="22"/>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政府性基金预算财政拨款收入支出决算表</w:t>
      </w:r>
    </w:p>
    <w:p>
      <w:pPr>
        <w:spacing w:line="400" w:lineRule="exact"/>
        <w:jc w:val="right"/>
        <w:rPr>
          <w:rFonts w:hint="eastAsia" w:ascii="楷体_GB2312" w:eastAsia="楷体_GB2312"/>
          <w:sz w:val="28"/>
          <w:szCs w:val="28"/>
        </w:rPr>
      </w:pPr>
      <w:r>
        <w:rPr>
          <w:rFonts w:hint="eastAsia" w:ascii="楷体_GB2312" w:eastAsia="楷体_GB2312"/>
          <w:sz w:val="28"/>
          <w:szCs w:val="28"/>
        </w:rPr>
        <w:t>公开08表</w:t>
      </w:r>
    </w:p>
    <w:p>
      <w:pPr>
        <w:spacing w:line="400" w:lineRule="exact"/>
        <w:ind w:firstLine="138" w:firstLineChars="50"/>
        <w:jc w:val="right"/>
        <w:rPr>
          <w:rFonts w:hint="eastAsia" w:ascii="楷体_GB2312" w:eastAsia="楷体_GB2312"/>
          <w:sz w:val="28"/>
          <w:szCs w:val="28"/>
        </w:rPr>
      </w:pPr>
      <w:r>
        <w:rPr>
          <w:rFonts w:hint="eastAsia" w:ascii="楷体_GB2312" w:eastAsia="楷体_GB2312"/>
          <w:sz w:val="28"/>
          <w:szCs w:val="28"/>
        </w:rPr>
        <w:t>单位：泰安市社会福利院（泰安市儿童福利院）                                      金额单位：万元</w:t>
      </w:r>
    </w:p>
    <w:tbl>
      <w:tblPr>
        <w:tblStyle w:val="10"/>
        <w:tblpPr w:leftFromText="180" w:rightFromText="180" w:vertAnchor="text" w:tblpXSpec="center" w:tblpY="1"/>
        <w:tblOverlap w:val="never"/>
        <w:tblW w:w="0" w:type="auto"/>
        <w:tblInd w:w="0" w:type="dxa"/>
        <w:tblLayout w:type="fixed"/>
        <w:tblCellMar>
          <w:top w:w="0" w:type="dxa"/>
          <w:left w:w="108" w:type="dxa"/>
          <w:bottom w:w="0" w:type="dxa"/>
          <w:right w:w="108" w:type="dxa"/>
        </w:tblCellMar>
      </w:tblPr>
      <w:tblGrid>
        <w:gridCol w:w="1372"/>
        <w:gridCol w:w="56"/>
        <w:gridCol w:w="1429"/>
        <w:gridCol w:w="1731"/>
        <w:gridCol w:w="1707"/>
        <w:gridCol w:w="1708"/>
        <w:gridCol w:w="1708"/>
        <w:gridCol w:w="1708"/>
        <w:gridCol w:w="1791"/>
      </w:tblGrid>
      <w:tr>
        <w:tblPrEx>
          <w:tblCellMar>
            <w:top w:w="0" w:type="dxa"/>
            <w:left w:w="108" w:type="dxa"/>
            <w:bottom w:w="0" w:type="dxa"/>
            <w:right w:w="108" w:type="dxa"/>
          </w:tblCellMar>
        </w:tblPrEx>
        <w:trPr>
          <w:trHeight w:val="453" w:hRule="atLeast"/>
        </w:trPr>
        <w:tc>
          <w:tcPr>
            <w:tcW w:w="285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1731"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年初结转和结余</w:t>
            </w:r>
          </w:p>
        </w:tc>
        <w:tc>
          <w:tcPr>
            <w:tcW w:w="1707" w:type="dxa"/>
            <w:vMerge w:val="restart"/>
            <w:tcBorders>
              <w:top w:val="single" w:color="auto" w:sz="4" w:space="0"/>
              <w:left w:val="nil"/>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本年收入</w:t>
            </w:r>
          </w:p>
        </w:tc>
        <w:tc>
          <w:tcPr>
            <w:tcW w:w="5124"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本年支出</w:t>
            </w:r>
          </w:p>
        </w:tc>
        <w:tc>
          <w:tcPr>
            <w:tcW w:w="1791" w:type="dxa"/>
            <w:vMerge w:val="restart"/>
            <w:tcBorders>
              <w:top w:val="single" w:color="auto" w:sz="4" w:space="0"/>
              <w:left w:val="nil"/>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年末结转和结余</w:t>
            </w:r>
          </w:p>
        </w:tc>
      </w:tr>
      <w:tr>
        <w:tblPrEx>
          <w:tblCellMar>
            <w:top w:w="0" w:type="dxa"/>
            <w:left w:w="108" w:type="dxa"/>
            <w:bottom w:w="0" w:type="dxa"/>
            <w:right w:w="108" w:type="dxa"/>
          </w:tblCellMar>
        </w:tblPrEx>
        <w:trPr>
          <w:trHeight w:val="599" w:hRule="atLeast"/>
        </w:trPr>
        <w:tc>
          <w:tcPr>
            <w:tcW w:w="14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  科目编码</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1731"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707" w:type="dxa"/>
            <w:vMerge w:val="continue"/>
            <w:tcBorders>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p>
        </w:tc>
        <w:tc>
          <w:tcPr>
            <w:tcW w:w="170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70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170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项目支出</w:t>
            </w:r>
          </w:p>
        </w:tc>
        <w:tc>
          <w:tcPr>
            <w:tcW w:w="1791" w:type="dxa"/>
            <w:vMerge w:val="continue"/>
            <w:tcBorders>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173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170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79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w:t>
            </w:r>
          </w:p>
        </w:tc>
      </w:tr>
      <w:tr>
        <w:tblPrEx>
          <w:tblCellMar>
            <w:top w:w="0" w:type="dxa"/>
            <w:left w:w="108" w:type="dxa"/>
            <w:bottom w:w="0" w:type="dxa"/>
            <w:right w:w="108" w:type="dxa"/>
          </w:tblCellMar>
        </w:tblPrEx>
        <w:trPr>
          <w:trHeight w:val="454" w:hRule="atLeast"/>
        </w:trPr>
        <w:tc>
          <w:tcPr>
            <w:tcW w:w="285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173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68.58</w:t>
            </w:r>
          </w:p>
        </w:tc>
        <w:tc>
          <w:tcPr>
            <w:tcW w:w="170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524.11</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79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0.00</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229</w:t>
            </w:r>
          </w:p>
        </w:tc>
        <w:tc>
          <w:tcPr>
            <w:tcW w:w="1485" w:type="dxa"/>
            <w:gridSpan w:val="2"/>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其他支出</w:t>
            </w:r>
          </w:p>
        </w:tc>
        <w:tc>
          <w:tcPr>
            <w:tcW w:w="173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68.58</w:t>
            </w:r>
          </w:p>
        </w:tc>
        <w:tc>
          <w:tcPr>
            <w:tcW w:w="170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524.11</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79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0.00</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22960</w:t>
            </w:r>
          </w:p>
        </w:tc>
        <w:tc>
          <w:tcPr>
            <w:tcW w:w="1485" w:type="dxa"/>
            <w:gridSpan w:val="2"/>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彩票公益金安排的支出</w:t>
            </w:r>
          </w:p>
        </w:tc>
        <w:tc>
          <w:tcPr>
            <w:tcW w:w="173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68.58</w:t>
            </w:r>
          </w:p>
        </w:tc>
        <w:tc>
          <w:tcPr>
            <w:tcW w:w="170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524.11</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79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0.00</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2296002</w:t>
            </w:r>
          </w:p>
        </w:tc>
        <w:tc>
          <w:tcPr>
            <w:tcW w:w="1485" w:type="dxa"/>
            <w:gridSpan w:val="2"/>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xml:space="preserve">  用于社会福利的彩票公益金支出</w:t>
            </w:r>
          </w:p>
        </w:tc>
        <w:tc>
          <w:tcPr>
            <w:tcW w:w="173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68.58</w:t>
            </w:r>
          </w:p>
        </w:tc>
        <w:tc>
          <w:tcPr>
            <w:tcW w:w="170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524.11</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70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592.69</w:t>
            </w:r>
          </w:p>
        </w:tc>
        <w:tc>
          <w:tcPr>
            <w:tcW w:w="179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0.00</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noWrap w:val="0"/>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noWrap w:val="0"/>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noWrap w:val="0"/>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noWrap w:val="0"/>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atLeast"/>
        </w:trPr>
        <w:tc>
          <w:tcPr>
            <w:tcW w:w="1372"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485"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31"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1707"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708" w:type="dxa"/>
            <w:tcBorders>
              <w:top w:val="nil"/>
              <w:left w:val="nil"/>
              <w:bottom w:val="single" w:color="auto" w:sz="4" w:space="0"/>
              <w:right w:val="single" w:color="auto" w:sz="4" w:space="0"/>
            </w:tcBorders>
            <w:noWrap w:val="0"/>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708" w:type="dxa"/>
            <w:tcBorders>
              <w:top w:val="nil"/>
              <w:left w:val="nil"/>
              <w:bottom w:val="single" w:color="auto" w:sz="4" w:space="0"/>
              <w:right w:val="single" w:color="auto" w:sz="4" w:space="0"/>
            </w:tcBorders>
            <w:noWrap w:val="0"/>
            <w:vAlign w:val="center"/>
          </w:tcPr>
          <w:p>
            <w:pPr>
              <w:widowControl/>
              <w:spacing w:line="300" w:lineRule="exact"/>
              <w:jc w:val="right"/>
              <w:rPr>
                <w:rFonts w:hint="eastAsia" w:ascii="仿宋_GB2312" w:hAnsi="宋体" w:eastAsia="仿宋_GB2312" w:cs="宋体"/>
                <w:kern w:val="0"/>
                <w:sz w:val="22"/>
                <w:szCs w:val="22"/>
              </w:rPr>
            </w:pPr>
          </w:p>
        </w:tc>
        <w:tc>
          <w:tcPr>
            <w:tcW w:w="1791" w:type="dxa"/>
            <w:tcBorders>
              <w:top w:val="nil"/>
              <w:left w:val="nil"/>
              <w:bottom w:val="single" w:color="auto" w:sz="4" w:space="0"/>
              <w:right w:val="single" w:color="auto" w:sz="4" w:space="0"/>
            </w:tcBorders>
            <w:noWrap w:val="0"/>
            <w:vAlign w:val="center"/>
          </w:tcPr>
          <w:p>
            <w:pPr>
              <w:spacing w:line="300" w:lineRule="exact"/>
              <w:jc w:val="righ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bl>
    <w:p>
      <w:pPr>
        <w:ind w:firstLine="108" w:firstLineChars="50"/>
        <w:rPr>
          <w:rFonts w:hint="eastAsia" w:ascii="仿宋_GB2312" w:hAnsi="宋体" w:eastAsia="仿宋_GB2312"/>
          <w:sz w:val="22"/>
          <w:szCs w:val="22"/>
        </w:rPr>
      </w:pPr>
      <w:r>
        <w:rPr>
          <w:rFonts w:hint="eastAsia" w:ascii="仿宋_GB2312" w:hAnsi="宋体" w:eastAsia="仿宋_GB2312"/>
          <w:sz w:val="22"/>
          <w:szCs w:val="22"/>
        </w:rPr>
        <w:t>注：本表反映单位本年度政府性基金预算财政拨款收入、支出及结转和结余情况。</w:t>
      </w:r>
    </w:p>
    <w:p>
      <w:pPr>
        <w:rPr>
          <w:rFonts w:hint="eastAsia" w:ascii="仿宋_GB2312" w:hAnsi="宋体" w:eastAsia="仿宋_GB2312"/>
          <w:sz w:val="22"/>
          <w:szCs w:val="22"/>
        </w:rPr>
        <w:sectPr>
          <w:pgSz w:w="16838" w:h="11906" w:orient="landscape"/>
          <w:pgMar w:top="1531" w:right="1701" w:bottom="1531" w:left="1701" w:header="0" w:footer="1418" w:gutter="0"/>
          <w:pgNumType w:fmt="numberInDash"/>
          <w:cols w:space="720" w:num="1"/>
          <w:docGrid w:type="linesAndChars" w:linePitch="610" w:charSpace="-849"/>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国有资本经营预算财政拨款支出决算表</w:t>
      </w:r>
    </w:p>
    <w:p>
      <w:pPr>
        <w:spacing w:line="400" w:lineRule="exact"/>
        <w:jc w:val="right"/>
        <w:rPr>
          <w:rFonts w:hint="eastAsia" w:ascii="楷体_GB2312" w:eastAsia="楷体_GB2312"/>
          <w:sz w:val="28"/>
          <w:szCs w:val="28"/>
        </w:rPr>
      </w:pPr>
      <w:r>
        <w:rPr>
          <w:rFonts w:hint="eastAsia" w:ascii="楷体_GB2312" w:eastAsia="楷体_GB2312"/>
          <w:sz w:val="28"/>
          <w:szCs w:val="28"/>
        </w:rPr>
        <w:t>公开09表</w:t>
      </w:r>
    </w:p>
    <w:p>
      <w:pPr>
        <w:wordWrap w:val="0"/>
        <w:spacing w:line="400" w:lineRule="exact"/>
        <w:ind w:firstLine="138" w:firstLineChars="50"/>
        <w:jc w:val="right"/>
        <w:rPr>
          <w:rFonts w:hint="eastAsia" w:ascii="楷体_GB2312" w:eastAsia="楷体_GB2312"/>
          <w:sz w:val="28"/>
          <w:szCs w:val="28"/>
        </w:rPr>
      </w:pPr>
      <w:r>
        <w:rPr>
          <w:rFonts w:hint="eastAsia" w:ascii="楷体_GB2312" w:eastAsia="楷体_GB2312"/>
          <w:sz w:val="28"/>
          <w:szCs w:val="28"/>
        </w:rPr>
        <w:t xml:space="preserve">单位：泰安市社会福利院（泰安市儿童福利院）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10"/>
        <w:tblW w:w="0" w:type="auto"/>
        <w:jc w:val="center"/>
        <w:tblLayout w:type="fixed"/>
        <w:tblCellMar>
          <w:top w:w="0" w:type="dxa"/>
          <w:left w:w="108" w:type="dxa"/>
          <w:bottom w:w="0" w:type="dxa"/>
          <w:right w:w="108" w:type="dxa"/>
        </w:tblCellMar>
      </w:tblPr>
      <w:tblGrid>
        <w:gridCol w:w="1701"/>
        <w:gridCol w:w="3170"/>
        <w:gridCol w:w="2783"/>
        <w:gridCol w:w="2978"/>
        <w:gridCol w:w="2520"/>
      </w:tblGrid>
      <w:tr>
        <w:tblPrEx>
          <w:tblCellMar>
            <w:top w:w="0" w:type="dxa"/>
            <w:left w:w="108" w:type="dxa"/>
            <w:bottom w:w="0" w:type="dxa"/>
            <w:right w:w="108" w:type="dxa"/>
          </w:tblCellMar>
        </w:tblPrEx>
        <w:trPr>
          <w:trHeight w:val="428" w:hRule="atLeast"/>
          <w:jc w:val="center"/>
        </w:trPr>
        <w:tc>
          <w:tcPr>
            <w:tcW w:w="48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828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本年支出</w:t>
            </w:r>
          </w:p>
        </w:tc>
      </w:tr>
      <w:tr>
        <w:tblPrEx>
          <w:tblCellMar>
            <w:top w:w="0" w:type="dxa"/>
            <w:left w:w="108" w:type="dxa"/>
            <w:bottom w:w="0" w:type="dxa"/>
            <w:right w:w="108" w:type="dxa"/>
          </w:tblCellMar>
        </w:tblPrEx>
        <w:trPr>
          <w:trHeight w:val="675" w:hRule="exac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功能分类</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科目编码</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2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297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项目支出</w:t>
            </w:r>
          </w:p>
        </w:tc>
      </w:tr>
      <w:tr>
        <w:tblPrEx>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2783"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297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252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3</w:t>
            </w:r>
          </w:p>
        </w:tc>
      </w:tr>
      <w:tr>
        <w:tblPrEx>
          <w:tblCellMar>
            <w:top w:w="0" w:type="dxa"/>
            <w:left w:w="108" w:type="dxa"/>
            <w:bottom w:w="0" w:type="dxa"/>
            <w:right w:w="108" w:type="dxa"/>
          </w:tblCellMar>
        </w:tblPrEx>
        <w:trPr>
          <w:trHeight w:val="454" w:hRule="exact"/>
          <w:jc w:val="center"/>
        </w:trPr>
        <w:tc>
          <w:tcPr>
            <w:tcW w:w="48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2783"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297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c>
          <w:tcPr>
            <w:tcW w:w="252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317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317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27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297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c>
          <w:tcPr>
            <w:tcW w:w="252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CellMar>
            <w:top w:w="0" w:type="dxa"/>
            <w:left w:w="108" w:type="dxa"/>
            <w:bottom w:w="0" w:type="dxa"/>
            <w:right w:w="108" w:type="dxa"/>
          </w:tblCellMar>
        </w:tblPrEx>
        <w:trPr>
          <w:trHeight w:val="454" w:hRule="exact"/>
          <w:jc w:val="center"/>
        </w:trPr>
        <w:tc>
          <w:tcPr>
            <w:tcW w:w="1701"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17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78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97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0"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　</w:t>
            </w:r>
          </w:p>
        </w:tc>
      </w:tr>
    </w:tbl>
    <w:p>
      <w:pPr>
        <w:spacing w:line="400" w:lineRule="exact"/>
        <w:ind w:firstLine="108" w:firstLineChars="50"/>
        <w:jc w:val="left"/>
        <w:rPr>
          <w:rFonts w:hint="eastAsia" w:ascii="仿宋_GB2312" w:hAnsi="宋体" w:eastAsia="仿宋_GB2312"/>
          <w:sz w:val="22"/>
          <w:szCs w:val="22"/>
        </w:rPr>
      </w:pPr>
      <w:r>
        <w:rPr>
          <w:rFonts w:hint="eastAsia" w:ascii="仿宋_GB2312" w:hAnsi="宋体" w:eastAsia="仿宋_GB2312"/>
          <w:sz w:val="22"/>
          <w:szCs w:val="22"/>
        </w:rPr>
        <w:t>注：本单位没有使用国有资本经营预算安排的支出，故本表无数据。</w:t>
      </w:r>
    </w:p>
    <w:p>
      <w:pPr>
        <w:spacing w:line="400" w:lineRule="exact"/>
        <w:jc w:val="left"/>
        <w:rPr>
          <w:rFonts w:ascii="仿宋_GB2312" w:hAnsi="宋体" w:eastAsia="仿宋_GB2312"/>
          <w:sz w:val="22"/>
          <w:szCs w:val="22"/>
        </w:rPr>
        <w:sectPr>
          <w:pgSz w:w="16838" w:h="11906" w:orient="landscape"/>
          <w:pgMar w:top="1531" w:right="1701" w:bottom="1531" w:left="1701" w:header="0" w:footer="1418" w:gutter="0"/>
          <w:pgNumType w:fmt="numberInDash"/>
          <w:cols w:space="720" w:num="1"/>
          <w:docGrid w:type="linesAndChars" w:linePitch="610" w:charSpace="-849"/>
        </w:sect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p>
    <w:p>
      <w:pPr>
        <w:ind w:firstLine="536" w:firstLineChars="100"/>
        <w:rPr>
          <w:rFonts w:hint="eastAsia" w:ascii="方正小标宋简体" w:eastAsia="方正小标宋简体"/>
          <w:spacing w:val="60"/>
          <w:sz w:val="42"/>
        </w:rPr>
      </w:pPr>
      <w:r>
        <w:rPr>
          <w:rFonts w:hint="eastAsia" w:ascii="方正小标宋简体" w:eastAsia="方正小标宋简体"/>
          <w:spacing w:val="60"/>
          <w:sz w:val="42"/>
        </w:rPr>
        <w:t>第三部分</w:t>
      </w:r>
    </w:p>
    <w:p>
      <w:pPr>
        <w:spacing w:line="800" w:lineRule="exact"/>
        <w:jc w:val="center"/>
        <w:rPr>
          <w:rFonts w:hint="eastAsia" w:ascii="方正小标宋简体" w:eastAsia="方正小标宋简体"/>
          <w:spacing w:val="60"/>
          <w:sz w:val="48"/>
        </w:rPr>
      </w:pPr>
    </w:p>
    <w:p>
      <w:pPr>
        <w:spacing w:line="800" w:lineRule="exact"/>
        <w:jc w:val="center"/>
        <w:rPr>
          <w:rFonts w:hint="eastAsia" w:ascii="方正小标宋简体" w:eastAsia="方正小标宋简体"/>
          <w:spacing w:val="60"/>
          <w:sz w:val="48"/>
        </w:rPr>
      </w:pPr>
    </w:p>
    <w:p>
      <w:pPr>
        <w:spacing w:line="800" w:lineRule="exact"/>
        <w:jc w:val="center"/>
        <w:rPr>
          <w:rFonts w:ascii="方正小标宋简体" w:eastAsia="方正小标宋简体"/>
          <w:spacing w:val="60"/>
          <w:sz w:val="48"/>
        </w:rPr>
        <w:sectPr>
          <w:pgSz w:w="11906" w:h="16838"/>
          <w:pgMar w:top="1701" w:right="1531" w:bottom="1701" w:left="1531" w:header="0" w:footer="1418" w:gutter="0"/>
          <w:pgNumType w:fmt="numberInDash"/>
          <w:cols w:space="720" w:num="1"/>
          <w:docGrid w:type="linesAndChars" w:linePitch="610" w:charSpace="-849"/>
        </w:sectPr>
      </w:pPr>
      <w:r>
        <w:rPr>
          <w:rFonts w:hint="eastAsia" w:ascii="方正小标宋简体" w:eastAsia="方正小标宋简体"/>
          <w:spacing w:val="60"/>
          <w:sz w:val="48"/>
        </w:rPr>
        <w:t>2021年度单位决算情况说明</w:t>
      </w:r>
    </w:p>
    <w:p>
      <w:pPr>
        <w:spacing w:line="580" w:lineRule="exact"/>
        <w:ind w:firstLine="640" w:firstLineChars="200"/>
        <w:rPr>
          <w:rFonts w:hint="eastAsia" w:ascii="黑体" w:hAnsi="黑体" w:eastAsia="黑体"/>
          <w:szCs w:val="32"/>
        </w:rPr>
      </w:pPr>
      <w:r>
        <w:rPr>
          <w:rFonts w:hint="eastAsia" w:ascii="黑体" w:hAnsi="黑体" w:eastAsia="黑体"/>
          <w:szCs w:val="32"/>
        </w:rPr>
        <w:t>一、收入支出决算总体情况说明</w:t>
      </w:r>
    </w:p>
    <w:p>
      <w:pPr>
        <w:spacing w:line="580" w:lineRule="exact"/>
        <w:ind w:firstLine="643" w:firstLineChars="200"/>
        <w:rPr>
          <w:rFonts w:hint="eastAsia" w:ascii="仿宋_GB2312" w:eastAsia="仿宋_GB2312"/>
          <w:szCs w:val="32"/>
        </w:rPr>
      </w:pPr>
      <w:r>
        <w:rPr>
          <w:rFonts w:hint="eastAsia" w:ascii="仿宋_GB2312" w:eastAsia="仿宋_GB2312"/>
          <w:b/>
          <w:szCs w:val="32"/>
        </w:rPr>
        <w:pict>
          <v:shape id="Object 3" o:spid="_x0000_s2051" o:spt="75" type="#_x0000_t75" style="position:absolute;left:0pt;margin-left:71.95pt;margin-top:92.95pt;height:160.15pt;width:295pt;mso-wrap-distance-bottom:0pt;mso-wrap-distance-top:0pt;z-index:251659264;mso-width-relative:page;mso-height-relative:page;" o:ole="t" filled="f" o:preferrelative="t" stroked="f" coordsize="21600,21600">
            <v:path/>
            <v:fill on="f" focussize="0,0"/>
            <v:stroke on="f"/>
            <v:imagedata r:id="rId9" o:title=""/>
            <o:lock v:ext="edit" aspectratio="t"/>
            <w10:wrap type="topAndBottom"/>
          </v:shape>
          <o:OLEObject Type="Embed" ProgID="Excel.Chart.8" ShapeID="Object 3" DrawAspect="Content" ObjectID="_1468075725" r:id="rId8">
            <o:LockedField>false</o:LockedField>
          </o:OLEObject>
        </w:pict>
      </w:r>
      <w:r>
        <w:rPr>
          <w:rFonts w:hint="eastAsia" w:ascii="仿宋_GB2312" w:eastAsia="仿宋_GB2312"/>
          <w:szCs w:val="32"/>
        </w:rPr>
        <w:t>2021年度收、支总计 2482.36万元。与2020年度相比，收、支总计各增加397.80万元，增长19.08%。主要是福彩公益金安排项目增加。</w:t>
      </w:r>
    </w:p>
    <w:p>
      <w:pPr>
        <w:spacing w:line="580" w:lineRule="exact"/>
        <w:ind w:firstLine="640" w:firstLineChars="200"/>
        <w:rPr>
          <w:rFonts w:hint="eastAsia" w:ascii="黑体" w:hAnsi="黑体" w:eastAsia="黑体"/>
          <w:szCs w:val="32"/>
        </w:rPr>
      </w:pPr>
      <w:r>
        <w:rPr>
          <w:rFonts w:hint="eastAsia" w:ascii="黑体" w:hAnsi="黑体" w:eastAsia="黑体"/>
          <w:szCs w:val="32"/>
        </w:rPr>
        <w:t>二、收入决算情况说明</w:t>
      </w:r>
    </w:p>
    <w:p>
      <w:pPr>
        <w:spacing w:line="580" w:lineRule="exact"/>
        <w:ind w:firstLine="640" w:firstLineChars="200"/>
        <w:rPr>
          <w:rFonts w:hint="eastAsia" w:ascii="楷体_GB2312" w:eastAsia="楷体_GB2312"/>
          <w:szCs w:val="32"/>
        </w:rPr>
      </w:pPr>
      <w:r>
        <w:rPr>
          <w:rFonts w:hint="eastAsia" w:ascii="楷体_GB2312" w:eastAsia="楷体_GB2312"/>
          <w:szCs w:val="32"/>
        </w:rPr>
        <w:t xml:space="preserve">（一）收入决算结构情况 </w:t>
      </w:r>
    </w:p>
    <w:p>
      <w:pPr>
        <w:spacing w:line="580" w:lineRule="exact"/>
        <w:ind w:firstLine="640" w:firstLineChars="200"/>
        <w:rPr>
          <w:rFonts w:hint="eastAsia" w:ascii="仿宋_GB2312" w:eastAsia="仿宋_GB2312"/>
          <w:szCs w:val="32"/>
        </w:rPr>
      </w:pPr>
      <w:r>
        <w:rPr>
          <w:rFonts w:hint="eastAsia" w:ascii="仿宋_GB2312" w:eastAsia="仿宋_GB2312"/>
          <w:szCs w:val="32"/>
        </w:rPr>
        <w:t>本年收入合计 2277.53万元，其中：财政拨款收入2200.79万元，占96.63%；上级补助收入0万元，占0%；事业收入 0万元，占 0%；经营收入 0 万元，占 0%；附属单位上缴收入 0万元，占 0%；其他收入76.74万元，占3.37%。</w:t>
      </w:r>
    </w:p>
    <w:p>
      <w:pPr>
        <w:tabs>
          <w:tab w:val="left" w:pos="5769"/>
        </w:tabs>
        <w:jc w:val="left"/>
        <w:rPr>
          <w:rFonts w:hint="eastAsia" w:ascii="仿宋_GB2312" w:eastAsia="仿宋_GB2312"/>
          <w:szCs w:val="32"/>
        </w:rPr>
      </w:pPr>
      <w:r>
        <w:rPr>
          <w:rFonts w:hint="eastAsia"/>
        </w:rPr>
        <w:tab/>
      </w:r>
      <w:r>
        <w:rPr>
          <w:rFonts w:hint="eastAsia" w:ascii="仿宋" w:hAnsi="仿宋" w:eastAsia="仿宋"/>
          <w:szCs w:val="32"/>
        </w:rPr>
        <w:pict>
          <v:shape id="Object 4" o:spid="_x0000_s2052" o:spt="75" type="#_x0000_t75" style="position:absolute;left:0pt;margin-left:145pt;margin-top:4.25pt;height:150.9pt;width:204.35pt;mso-wrap-distance-bottom:0pt;mso-wrap-distance-top:0pt;z-index:251660288;mso-width-relative:page;mso-height-relative:page;" o:ole="t" filled="f" o:preferrelative="t" stroked="f" coordsize="21600,21600">
            <v:path/>
            <v:fill on="f" focussize="0,0"/>
            <v:stroke on="f"/>
            <v:imagedata r:id="rId11" o:title=""/>
            <o:lock v:ext="edit" aspectratio="t"/>
            <w10:wrap type="topAndBottom"/>
          </v:shape>
          <o:OLEObject Type="Embed" ProgID="Excel.Chart.8" ShapeID="Object 4" DrawAspect="Content" ObjectID="_1468075726" r:id="rId10">
            <o:LockedField>false</o:LockedField>
          </o:OLEObject>
        </w:pict>
      </w:r>
    </w:p>
    <w:p>
      <w:pPr>
        <w:spacing w:line="580" w:lineRule="exact"/>
        <w:ind w:firstLine="640" w:firstLineChars="200"/>
        <w:rPr>
          <w:rFonts w:hint="eastAsia" w:ascii="楷体_GB2312" w:eastAsia="楷体_GB2312"/>
          <w:szCs w:val="32"/>
        </w:rPr>
      </w:pPr>
      <w:r>
        <w:rPr>
          <w:rFonts w:hint="eastAsia" w:ascii="楷体_GB2312" w:eastAsia="楷体_GB2312"/>
          <w:szCs w:val="32"/>
        </w:rPr>
        <w:t>（二）收入决算具体情况</w:t>
      </w:r>
    </w:p>
    <w:p>
      <w:pPr>
        <w:spacing w:line="580" w:lineRule="exact"/>
        <w:ind w:firstLine="640" w:firstLineChars="200"/>
        <w:rPr>
          <w:rFonts w:hint="eastAsia" w:ascii="仿宋_GB2312" w:eastAsia="仿宋_GB2312"/>
          <w:szCs w:val="32"/>
        </w:rPr>
      </w:pPr>
      <w:r>
        <w:rPr>
          <w:rFonts w:hint="eastAsia" w:ascii="仿宋_GB2312" w:eastAsia="仿宋_GB2312"/>
          <w:szCs w:val="32"/>
        </w:rPr>
        <w:t>1、财政拨款收入2200.79万元。与2020年度相比，增加401.80万元，增长22.33%。主要是福彩公益金安排项目增加。</w:t>
      </w:r>
    </w:p>
    <w:p>
      <w:pPr>
        <w:spacing w:line="580" w:lineRule="exact"/>
        <w:ind w:firstLine="640" w:firstLineChars="200"/>
        <w:rPr>
          <w:rFonts w:hint="eastAsia" w:ascii="仿宋_GB2312" w:eastAsia="仿宋_GB2312"/>
          <w:szCs w:val="32"/>
        </w:rPr>
      </w:pPr>
      <w:r>
        <w:rPr>
          <w:rFonts w:hint="eastAsia" w:ascii="仿宋_GB2312" w:eastAsia="仿宋_GB2312"/>
          <w:szCs w:val="32"/>
        </w:rPr>
        <w:t>2、上级补助收入0万元。与2020年度相比持平。</w:t>
      </w:r>
    </w:p>
    <w:p>
      <w:pPr>
        <w:spacing w:line="580" w:lineRule="exact"/>
        <w:ind w:firstLine="640" w:firstLineChars="200"/>
        <w:rPr>
          <w:rFonts w:hint="eastAsia" w:ascii="仿宋_GB2312" w:eastAsia="仿宋_GB2312"/>
          <w:szCs w:val="32"/>
        </w:rPr>
      </w:pPr>
      <w:r>
        <w:rPr>
          <w:rFonts w:hint="eastAsia" w:ascii="仿宋_GB2312" w:eastAsia="仿宋_GB2312"/>
          <w:szCs w:val="32"/>
        </w:rPr>
        <w:t>3、事业收入0万元。与2020年度相比持平。</w:t>
      </w:r>
    </w:p>
    <w:p>
      <w:pPr>
        <w:spacing w:line="580" w:lineRule="exact"/>
        <w:ind w:firstLine="640" w:firstLineChars="200"/>
        <w:rPr>
          <w:rFonts w:hint="eastAsia" w:ascii="仿宋_GB2312" w:eastAsia="仿宋_GB2312"/>
          <w:szCs w:val="32"/>
        </w:rPr>
      </w:pPr>
      <w:r>
        <w:rPr>
          <w:rFonts w:hint="eastAsia" w:ascii="仿宋_GB2312" w:eastAsia="仿宋_GB2312"/>
          <w:szCs w:val="32"/>
        </w:rPr>
        <w:t>4、经营收入0万元。与2020年度相比持平。</w:t>
      </w:r>
    </w:p>
    <w:p>
      <w:pPr>
        <w:spacing w:line="580" w:lineRule="exact"/>
        <w:ind w:firstLine="640" w:firstLineChars="200"/>
        <w:rPr>
          <w:rFonts w:hint="eastAsia" w:ascii="仿宋_GB2312" w:eastAsia="仿宋_GB2312"/>
          <w:szCs w:val="32"/>
        </w:rPr>
      </w:pPr>
      <w:r>
        <w:rPr>
          <w:rFonts w:hint="eastAsia" w:ascii="仿宋_GB2312" w:eastAsia="仿宋_GB2312"/>
          <w:szCs w:val="32"/>
        </w:rPr>
        <w:t>5、附属单位上缴收入0万元。与2020年度相比持平。</w:t>
      </w:r>
    </w:p>
    <w:p>
      <w:pPr>
        <w:spacing w:line="580" w:lineRule="exact"/>
        <w:ind w:firstLine="640" w:firstLineChars="200"/>
        <w:rPr>
          <w:rFonts w:hint="eastAsia" w:ascii="仿宋_GB2312" w:eastAsia="仿宋_GB2312"/>
          <w:b/>
          <w:szCs w:val="32"/>
        </w:rPr>
      </w:pPr>
      <w:r>
        <w:rPr>
          <w:rFonts w:hint="eastAsia" w:ascii="仿宋_GB2312" w:eastAsia="仿宋_GB2312"/>
          <w:szCs w:val="32"/>
        </w:rPr>
        <w:t>6、其他收入76.74万元。与2020年度相比，增加23.80万元，增长44.96%。主要是房租金的增加。</w:t>
      </w:r>
    </w:p>
    <w:p>
      <w:pPr>
        <w:spacing w:line="580" w:lineRule="exact"/>
        <w:ind w:firstLine="640" w:firstLineChars="200"/>
        <w:rPr>
          <w:rFonts w:hint="eastAsia" w:ascii="黑体" w:hAnsi="黑体" w:eastAsia="黑体"/>
          <w:szCs w:val="32"/>
        </w:rPr>
      </w:pPr>
      <w:r>
        <w:rPr>
          <w:rFonts w:hint="eastAsia" w:ascii="黑体" w:hAnsi="黑体" w:eastAsia="黑体"/>
          <w:szCs w:val="32"/>
        </w:rPr>
        <w:t>三、支出决算情况说明</w:t>
      </w:r>
    </w:p>
    <w:p>
      <w:pPr>
        <w:spacing w:line="580" w:lineRule="exact"/>
        <w:ind w:firstLine="640" w:firstLineChars="200"/>
        <w:rPr>
          <w:rFonts w:hint="eastAsia" w:ascii="楷体_GB2312" w:eastAsia="楷体_GB2312"/>
          <w:szCs w:val="32"/>
        </w:rPr>
      </w:pPr>
      <w:r>
        <w:rPr>
          <w:rFonts w:hint="eastAsia" w:ascii="楷体_GB2312" w:eastAsia="楷体_GB2312"/>
          <w:szCs w:val="32"/>
        </w:rPr>
        <w:t>（一）支出决算结构情况</w:t>
      </w:r>
    </w:p>
    <w:p>
      <w:pPr>
        <w:spacing w:line="580" w:lineRule="exact"/>
        <w:ind w:firstLine="640" w:firstLineChars="200"/>
        <w:rPr>
          <w:rFonts w:hint="eastAsia" w:ascii="仿宋_GB2312" w:eastAsia="仿宋_GB2312"/>
          <w:szCs w:val="32"/>
        </w:rPr>
      </w:pPr>
      <w:r>
        <w:rPr>
          <w:rFonts w:hint="eastAsia" w:ascii="仿宋_GB2312" w:eastAsia="仿宋_GB2312"/>
          <w:szCs w:val="32"/>
        </w:rPr>
        <w:t>本年支出合计2482.39万元，其中：基本支出1126.71万元，占45.39%；项目支出1355.68万元，占54.61%；上缴上级支出0，占0%；经营支出0万元，占0%；对附属单位补助支出0万元，占0%。</w:t>
      </w:r>
    </w:p>
    <w:p>
      <w:pPr>
        <w:spacing w:line="580" w:lineRule="exact"/>
        <w:ind w:firstLine="640" w:firstLineChars="200"/>
        <w:rPr>
          <w:rFonts w:hint="eastAsia" w:ascii="仿宋_GB2312" w:eastAsia="仿宋_GB2312"/>
          <w:b/>
          <w:szCs w:val="32"/>
        </w:rPr>
      </w:pPr>
      <w:r>
        <w:rPr>
          <w:rFonts w:hint="eastAsia" w:ascii="仿宋" w:hAnsi="仿宋" w:eastAsia="仿宋"/>
          <w:szCs w:val="32"/>
        </w:rPr>
        <w:pict>
          <v:shape id="Object 5" o:spid="_x0000_s2053" o:spt="75" type="#_x0000_t75" style="position:absolute;left:0pt;margin-left:114.65pt;margin-top:16.5pt;height:167.75pt;width:196.4pt;mso-wrap-distance-left:9pt;mso-wrap-distance-right:9pt;z-index:-251655168;mso-width-relative:page;mso-height-relative:page;" o:ole="t" filled="f" o:preferrelative="t" stroked="f" coordsize="21600,21600" wrapcoords="21592 -2 0 0 0 21600 21592 21602 8 21602 21600 21600 21600 0 8 -2 21592 -2">
            <v:path/>
            <v:fill on="f" focussize="0,0"/>
            <v:stroke on="f"/>
            <v:imagedata r:id="rId13" o:title=""/>
            <o:lock v:ext="edit" aspectratio="t"/>
            <w10:wrap type="through"/>
          </v:shape>
          <o:OLEObject Type="Embed" ProgID="Excel.Chart.8" ShapeID="Object 5" DrawAspect="Content" ObjectID="_1468075727" r:id="rId12">
            <o:LockedField>false</o:LockedField>
          </o:OLEObject>
        </w:pict>
      </w:r>
      <w:r>
        <w:rPr>
          <w:rFonts w:hint="eastAsia" w:ascii="仿宋_GB2312" w:eastAsia="仿宋_GB2312"/>
          <w:b/>
          <w:szCs w:val="32"/>
        </w:rPr>
        <w:t xml:space="preserve"> </w:t>
      </w:r>
    </w:p>
    <w:p>
      <w:pPr>
        <w:spacing w:line="580" w:lineRule="exact"/>
        <w:ind w:firstLine="640" w:firstLineChars="200"/>
        <w:rPr>
          <w:rFonts w:hint="eastAsia" w:ascii="楷体_GB2312" w:eastAsia="楷体_GB2312"/>
          <w:szCs w:val="32"/>
        </w:rPr>
      </w:pPr>
    </w:p>
    <w:p>
      <w:pPr>
        <w:spacing w:line="580" w:lineRule="exact"/>
        <w:ind w:firstLine="640" w:firstLineChars="200"/>
        <w:rPr>
          <w:rFonts w:hint="eastAsia" w:ascii="楷体_GB2312" w:eastAsia="楷体_GB2312"/>
          <w:szCs w:val="32"/>
        </w:rPr>
      </w:pPr>
    </w:p>
    <w:p>
      <w:pPr>
        <w:spacing w:line="580" w:lineRule="exact"/>
        <w:ind w:firstLine="640" w:firstLineChars="200"/>
        <w:rPr>
          <w:rFonts w:hint="eastAsia" w:ascii="楷体_GB2312" w:eastAsia="楷体_GB2312"/>
          <w:szCs w:val="32"/>
        </w:rPr>
      </w:pPr>
    </w:p>
    <w:p>
      <w:pPr>
        <w:spacing w:line="580" w:lineRule="exact"/>
        <w:ind w:firstLine="640" w:firstLineChars="200"/>
        <w:rPr>
          <w:rFonts w:hint="eastAsia" w:ascii="楷体_GB2312" w:eastAsia="楷体_GB2312"/>
          <w:szCs w:val="32"/>
        </w:rPr>
      </w:pPr>
    </w:p>
    <w:p>
      <w:pPr>
        <w:spacing w:line="580" w:lineRule="exact"/>
        <w:ind w:firstLine="640" w:firstLineChars="200"/>
        <w:rPr>
          <w:rFonts w:hint="eastAsia" w:ascii="楷体_GB2312" w:eastAsia="楷体_GB2312"/>
          <w:szCs w:val="32"/>
        </w:rPr>
      </w:pPr>
    </w:p>
    <w:p>
      <w:pPr>
        <w:spacing w:line="580" w:lineRule="exact"/>
        <w:ind w:firstLine="640" w:firstLineChars="200"/>
        <w:rPr>
          <w:rFonts w:hint="eastAsia" w:ascii="楷体_GB2312" w:eastAsia="楷体_GB2312"/>
          <w:szCs w:val="32"/>
        </w:rPr>
      </w:pPr>
      <w:r>
        <w:rPr>
          <w:rFonts w:hint="eastAsia" w:ascii="楷体_GB2312" w:eastAsia="楷体_GB2312"/>
          <w:szCs w:val="32"/>
        </w:rPr>
        <w:t>（二）支出决算具体情况</w:t>
      </w:r>
    </w:p>
    <w:p>
      <w:pPr>
        <w:spacing w:line="580" w:lineRule="exact"/>
        <w:ind w:firstLine="640" w:firstLineChars="200"/>
        <w:rPr>
          <w:rFonts w:hint="eastAsia" w:ascii="仿宋_GB2312" w:eastAsia="仿宋_GB2312"/>
          <w:szCs w:val="32"/>
        </w:rPr>
      </w:pPr>
      <w:r>
        <w:rPr>
          <w:rFonts w:hint="eastAsia" w:ascii="仿宋_GB2312" w:eastAsia="仿宋_GB2312"/>
          <w:szCs w:val="32"/>
        </w:rPr>
        <w:t>1、基本支出1126.71万元。与2020年度相比，减少35.10万元，下降3.02%。主要是人员经费减少。</w:t>
      </w:r>
    </w:p>
    <w:p>
      <w:pPr>
        <w:spacing w:line="580" w:lineRule="exact"/>
        <w:ind w:firstLine="640" w:firstLineChars="200"/>
        <w:rPr>
          <w:rFonts w:ascii="仿宋_GB2312" w:eastAsia="仿宋_GB2312"/>
          <w:szCs w:val="32"/>
        </w:rPr>
      </w:pPr>
      <w:r>
        <w:rPr>
          <w:rFonts w:hint="eastAsia" w:ascii="仿宋_GB2312" w:eastAsia="仿宋_GB2312"/>
          <w:szCs w:val="32"/>
        </w:rPr>
        <w:t>2、项目支出1355.68万元。与2020年度相比，增加656.04万元，增长93.77%。主要是福彩公益金安排项目增加。</w:t>
      </w:r>
    </w:p>
    <w:p>
      <w:pPr>
        <w:spacing w:line="580" w:lineRule="exact"/>
        <w:ind w:firstLine="640" w:firstLineChars="200"/>
        <w:rPr>
          <w:rFonts w:hint="eastAsia" w:ascii="仿宋_GB2312" w:eastAsia="仿宋_GB2312"/>
          <w:szCs w:val="32"/>
        </w:rPr>
      </w:pPr>
      <w:r>
        <w:rPr>
          <w:rFonts w:hint="eastAsia" w:ascii="仿宋_GB2312" w:eastAsia="仿宋_GB2312"/>
          <w:szCs w:val="32"/>
        </w:rPr>
        <w:t>3、上缴上级支出0万元。与2020年度决算数一致。</w:t>
      </w:r>
    </w:p>
    <w:p>
      <w:pPr>
        <w:spacing w:line="580" w:lineRule="exact"/>
        <w:ind w:firstLine="640" w:firstLineChars="200"/>
        <w:rPr>
          <w:rFonts w:hint="eastAsia" w:ascii="仿宋_GB2312" w:eastAsia="仿宋_GB2312"/>
          <w:szCs w:val="32"/>
        </w:rPr>
      </w:pPr>
      <w:r>
        <w:rPr>
          <w:rFonts w:hint="eastAsia" w:ascii="仿宋_GB2312" w:eastAsia="仿宋_GB2312"/>
          <w:szCs w:val="32"/>
        </w:rPr>
        <w:t>4、经营支出0万元。与2020年度决算数一致。</w:t>
      </w:r>
    </w:p>
    <w:p>
      <w:pPr>
        <w:spacing w:line="580" w:lineRule="exact"/>
        <w:ind w:firstLine="640" w:firstLineChars="200"/>
        <w:rPr>
          <w:rFonts w:hint="eastAsia" w:ascii="仿宋_GB2312" w:eastAsia="仿宋_GB2312"/>
          <w:szCs w:val="32"/>
        </w:rPr>
      </w:pPr>
      <w:r>
        <w:rPr>
          <w:rFonts w:hint="eastAsia" w:ascii="仿宋_GB2312" w:eastAsia="仿宋_GB2312"/>
          <w:szCs w:val="32"/>
        </w:rPr>
        <w:t>5、对附属单位补助支出0万元。与2020年度决算数一致。</w:t>
      </w:r>
    </w:p>
    <w:p>
      <w:pPr>
        <w:spacing w:line="580" w:lineRule="exact"/>
        <w:ind w:firstLine="640" w:firstLineChars="200"/>
        <w:rPr>
          <w:rFonts w:hint="eastAsia" w:ascii="黑体" w:hAnsi="黑体" w:eastAsia="黑体"/>
          <w:szCs w:val="32"/>
        </w:rPr>
      </w:pPr>
      <w:r>
        <w:rPr>
          <w:rFonts w:hint="eastAsia" w:ascii="黑体" w:hAnsi="黑体" w:eastAsia="黑体"/>
          <w:szCs w:val="32"/>
        </w:rPr>
        <w:t>四、财政拨款收入支出决算总体情况说明</w:t>
      </w:r>
    </w:p>
    <w:p>
      <w:pPr>
        <w:spacing w:line="580" w:lineRule="exact"/>
        <w:ind w:firstLine="640" w:firstLineChars="200"/>
        <w:rPr>
          <w:rFonts w:hint="eastAsia" w:ascii="仿宋_GB2312" w:eastAsia="仿宋_GB2312"/>
          <w:szCs w:val="32"/>
        </w:rPr>
      </w:pPr>
      <w:r>
        <w:rPr>
          <w:rFonts w:hint="eastAsia" w:ascii="仿宋_GB2312" w:eastAsia="仿宋_GB2312"/>
          <w:szCs w:val="32"/>
        </w:rPr>
        <w:t>2021年度财政拨款收、支总计2200.79万元。与2020年度相比，财政拨款收、支总计增加183.77万元，增长9.11%。主要是福彩公益金安排项目增加。</w:t>
      </w:r>
    </w:p>
    <w:p>
      <w:pPr>
        <w:spacing w:line="580" w:lineRule="exact"/>
        <w:ind w:firstLine="643" w:firstLineChars="200"/>
        <w:rPr>
          <w:rFonts w:hint="eastAsia" w:ascii="黑体" w:hAnsi="黑体" w:eastAsia="黑体"/>
          <w:szCs w:val="32"/>
        </w:rPr>
      </w:pPr>
      <w:r>
        <w:rPr>
          <w:rFonts w:hint="eastAsia" w:ascii="仿宋_GB2312" w:eastAsia="仿宋_GB2312"/>
          <w:b/>
          <w:szCs w:val="32"/>
        </w:rPr>
        <w:pict>
          <v:shape id="Object 9" o:spid="_x0000_s2057" o:spt="75" type="#_x0000_t75" style="position:absolute;left:0pt;margin-left:44.75pt;margin-top:3.5pt;height:189.05pt;width:350.45pt;mso-wrap-distance-bottom:0pt;mso-wrap-distance-top:0pt;z-index:251664384;mso-width-relative:page;mso-height-relative:page;" o:ole="t" filled="f" o:preferrelative="t" stroked="f" coordsize="21600,21600">
            <v:path/>
            <v:fill on="f" focussize="0,0"/>
            <v:stroke on="f"/>
            <v:imagedata r:id="rId15" o:title=""/>
            <o:lock v:ext="edit" aspectratio="t"/>
            <w10:wrap type="topAndBottom"/>
          </v:shape>
          <o:OLEObject Type="Embed" ProgID="Excel.Chart.8" ShapeID="Object 9" DrawAspect="Content" ObjectID="_1468075728" r:id="rId14">
            <o:LockedField>false</o:LockedField>
          </o:OLEObject>
        </w:pict>
      </w:r>
      <w:r>
        <w:rPr>
          <w:rFonts w:hint="eastAsia" w:ascii="黑体" w:hAnsi="黑体" w:eastAsia="黑体"/>
          <w:szCs w:val="32"/>
        </w:rPr>
        <w:t>五、一般公共预算财政拨款支出决算情况说明</w:t>
      </w:r>
    </w:p>
    <w:p>
      <w:pPr>
        <w:spacing w:line="580" w:lineRule="exact"/>
        <w:ind w:firstLine="640" w:firstLineChars="200"/>
        <w:rPr>
          <w:rFonts w:hint="eastAsia" w:ascii="楷体_GB2312" w:eastAsia="楷体_GB2312"/>
          <w:szCs w:val="32"/>
        </w:rPr>
      </w:pPr>
      <w:r>
        <w:rPr>
          <w:rFonts w:hint="eastAsia" w:ascii="楷体_GB2312" w:eastAsia="楷体_GB2312"/>
          <w:szCs w:val="32"/>
        </w:rPr>
        <w:t>（一）一般公共预算财政拨款支出决算总体情况</w:t>
      </w:r>
    </w:p>
    <w:p>
      <w:pPr>
        <w:spacing w:line="580" w:lineRule="exact"/>
        <w:ind w:firstLine="640" w:firstLineChars="200"/>
        <w:rPr>
          <w:rFonts w:hint="eastAsia" w:ascii="楷体_GB2312" w:eastAsia="楷体_GB2312"/>
          <w:szCs w:val="32"/>
        </w:rPr>
      </w:pPr>
      <w:r>
        <w:rPr>
          <w:rFonts w:hint="eastAsia" w:ascii="仿宋_GB2312" w:eastAsia="仿宋_GB2312"/>
          <w:szCs w:val="32"/>
        </w:rPr>
        <w:t>2021年度一般公共预算财政拨款支出1808.51万元，占</w:t>
      </w:r>
      <w:r>
        <w:rPr>
          <w:rFonts w:hint="eastAsia" w:ascii="仿宋_GB2312" w:eastAsia="仿宋_GB2312"/>
          <w:b/>
          <w:szCs w:val="32"/>
        </w:rPr>
        <w:pict>
          <v:shape id="Object 7" o:spid="_x0000_s2055" o:spt="75" type="#_x0000_t75" style="position:absolute;left:0pt;margin-left:39.55pt;margin-top:91.05pt;height:185.25pt;width:341.25pt;mso-wrap-distance-bottom:0pt;mso-wrap-distance-top:0pt;z-index:251662336;mso-width-relative:page;mso-height-relative:page;" o:ole="t" filled="f" o:preferrelative="t" stroked="f" coordsize="21600,21600">
            <v:path/>
            <v:fill on="f" focussize="0,0"/>
            <v:stroke on="f"/>
            <v:imagedata r:id="rId17" o:title=""/>
            <o:lock v:ext="edit" aspectratio="t"/>
            <w10:wrap type="topAndBottom"/>
          </v:shape>
          <o:OLEObject Type="Embed" ProgID="Excel.Chart.8" ShapeID="Object 7" DrawAspect="Content" ObjectID="_1468075729" r:id="rId16">
            <o:LockedField>false</o:LockedField>
          </o:OLEObject>
        </w:pict>
      </w:r>
      <w:r>
        <w:rPr>
          <w:rFonts w:hint="eastAsia" w:ascii="仿宋_GB2312" w:eastAsia="仿宋_GB2312"/>
          <w:szCs w:val="32"/>
        </w:rPr>
        <w:t>本年支出合计的82.18%。与2020年度相比，一般公共预算财政拨款支出增加112万元，增长6.6%。主要是人员工资和待遇的增加。</w:t>
      </w:r>
    </w:p>
    <w:p>
      <w:pPr>
        <w:spacing w:line="580" w:lineRule="exact"/>
        <w:ind w:firstLine="640" w:firstLineChars="200"/>
        <w:rPr>
          <w:rFonts w:hint="eastAsia" w:ascii="楷体_GB2312" w:eastAsia="楷体_GB2312"/>
          <w:szCs w:val="32"/>
        </w:rPr>
      </w:pPr>
      <w:r>
        <w:rPr>
          <w:rFonts w:hint="eastAsia" w:ascii="楷体_GB2312" w:eastAsia="楷体_GB2312"/>
          <w:szCs w:val="32"/>
        </w:rPr>
        <w:t>（二）一般公共预算财政拨款支出决算结构情况</w:t>
      </w:r>
    </w:p>
    <w:p>
      <w:pPr>
        <w:spacing w:line="580" w:lineRule="exact"/>
        <w:ind w:firstLine="640" w:firstLineChars="200"/>
        <w:rPr>
          <w:rFonts w:hint="eastAsia" w:ascii="仿宋_GB2312" w:eastAsia="仿宋_GB2312"/>
          <w:b/>
          <w:szCs w:val="32"/>
        </w:rPr>
      </w:pPr>
      <w:r>
        <w:rPr>
          <w:rFonts w:hint="eastAsia" w:ascii="仿宋" w:hAnsi="仿宋" w:eastAsia="仿宋"/>
          <w:szCs w:val="32"/>
        </w:rPr>
        <w:pict>
          <v:shape id="Object 8" o:spid="_x0000_s2056" o:spt="75" type="#_x0000_t75" style="position:absolute;left:0pt;margin-left:65.7pt;margin-top:128.4pt;height:188.55pt;width:257.15pt;mso-wrap-distance-bottom:0pt;mso-wrap-distance-top:0pt;z-index:251663360;mso-width-relative:page;mso-height-relative:page;" o:ole="t" filled="f" o:preferrelative="t" stroked="f" coordsize="21600,21600">
            <v:path/>
            <v:fill on="f" focussize="0,0"/>
            <v:stroke on="f"/>
            <v:imagedata r:id="rId19" o:title=""/>
            <o:lock v:ext="edit" aspectratio="t"/>
            <w10:wrap type="topAndBottom"/>
          </v:shape>
          <o:OLEObject Type="Embed" ProgID="Excel.Chart.8" ShapeID="Object 8" DrawAspect="Content" ObjectID="_1468075730" r:id="rId18">
            <o:LockedField>false</o:LockedField>
          </o:OLEObject>
        </w:pict>
      </w:r>
      <w:r>
        <w:rPr>
          <w:rFonts w:hint="eastAsia" w:ascii="仿宋_GB2312" w:eastAsia="仿宋_GB2312"/>
          <w:szCs w:val="32"/>
        </w:rPr>
        <w:t>2021年度一般公共预算财政拨款支出1808.51万元，主要用于以下方面：社会保障和就业（类）支出1740.04万元，占96.21%；卫生和健康（类）支出64.43万元，占3.56%；住房保障（类）支出4.04万元，占0.22%。</w:t>
      </w:r>
    </w:p>
    <w:p>
      <w:pPr>
        <w:spacing w:line="580" w:lineRule="exact"/>
        <w:ind w:firstLine="640" w:firstLineChars="200"/>
        <w:rPr>
          <w:rFonts w:hint="eastAsia" w:ascii="楷体_GB2312" w:eastAsia="楷体_GB2312"/>
          <w:szCs w:val="32"/>
        </w:rPr>
      </w:pPr>
      <w:r>
        <w:rPr>
          <w:rFonts w:hint="eastAsia" w:ascii="楷体_GB2312" w:eastAsia="楷体_GB2312"/>
          <w:szCs w:val="32"/>
        </w:rPr>
        <w:t>（三）一般公共预算财政拨款支出决算具体情况</w:t>
      </w:r>
    </w:p>
    <w:p>
      <w:pPr>
        <w:spacing w:line="580" w:lineRule="exact"/>
        <w:ind w:firstLine="640" w:firstLineChars="200"/>
        <w:rPr>
          <w:rFonts w:hint="eastAsia" w:ascii="仿宋_GB2312" w:eastAsia="仿宋_GB2312"/>
          <w:szCs w:val="32"/>
        </w:rPr>
      </w:pPr>
      <w:r>
        <w:rPr>
          <w:rFonts w:hint="eastAsia" w:ascii="仿宋_GB2312" w:eastAsia="仿宋_GB2312"/>
          <w:szCs w:val="32"/>
        </w:rPr>
        <w:t>2021年度一般公共预算财政拨款支出年初预算为1710.80万元，支出决算为1808.51万元，完成年初预算的105.71%。决算数大于年初预算数的主要原因是人员工资和待遇的增加。</w:t>
      </w:r>
    </w:p>
    <w:p>
      <w:pPr>
        <w:spacing w:line="580" w:lineRule="exact"/>
        <w:ind w:firstLine="640" w:firstLineChars="200"/>
        <w:rPr>
          <w:rFonts w:hint="eastAsia" w:ascii="仿宋_GB2312" w:eastAsia="仿宋_GB2312"/>
          <w:szCs w:val="32"/>
        </w:rPr>
      </w:pPr>
      <w:r>
        <w:rPr>
          <w:rFonts w:hint="eastAsia" w:ascii="仿宋_GB2312" w:eastAsia="仿宋_GB2312"/>
          <w:szCs w:val="32"/>
        </w:rPr>
        <w:t>其中：</w:t>
      </w:r>
    </w:p>
    <w:p>
      <w:pPr>
        <w:numPr>
          <w:ilvl w:val="0"/>
          <w:numId w:val="3"/>
        </w:numPr>
        <w:spacing w:line="580" w:lineRule="exact"/>
        <w:ind w:firstLine="640" w:firstLineChars="200"/>
        <w:rPr>
          <w:rFonts w:hint="eastAsia" w:ascii="仿宋_GB2312" w:eastAsia="仿宋_GB2312"/>
          <w:szCs w:val="32"/>
        </w:rPr>
      </w:pPr>
      <w:r>
        <w:rPr>
          <w:rFonts w:hint="eastAsia" w:ascii="仿宋_GB2312" w:eastAsia="仿宋_GB2312"/>
          <w:szCs w:val="32"/>
        </w:rPr>
        <w:t>社会保障和就业支出（类）行政事业单位养老支出（款）机关事业单位基本养老保险缴费支出（项）。年初预算为56.10万元，支出决算为65.61万元，完成年初预算的116.95%。决算数大于预算数主要原因是此资金为年中追加资金。</w:t>
      </w:r>
    </w:p>
    <w:p>
      <w:pPr>
        <w:spacing w:line="580" w:lineRule="exact"/>
        <w:ind w:firstLine="640" w:firstLineChars="200"/>
        <w:rPr>
          <w:rFonts w:hint="eastAsia" w:ascii="仿宋_GB2312" w:eastAsia="仿宋_GB2312"/>
          <w:szCs w:val="32"/>
        </w:rPr>
      </w:pPr>
      <w:r>
        <w:rPr>
          <w:rFonts w:hint="eastAsia" w:ascii="仿宋_GB2312" w:eastAsia="仿宋_GB2312"/>
          <w:szCs w:val="32"/>
        </w:rPr>
        <w:t>2、社会保障和就业支出（类）行政事业单位养老支出（款）机关事业单位职业年金缴费支出（项）。年初预算为0万元，支出决算为6.12万元。决算数大于预算数主要原因是此资金为年中追加资金。</w:t>
      </w:r>
    </w:p>
    <w:p>
      <w:pPr>
        <w:spacing w:line="580" w:lineRule="exact"/>
        <w:ind w:firstLine="640" w:firstLineChars="200"/>
        <w:rPr>
          <w:rFonts w:hint="eastAsia" w:ascii="仿宋_GB2312" w:eastAsia="仿宋_GB2312"/>
          <w:szCs w:val="32"/>
        </w:rPr>
      </w:pPr>
      <w:r>
        <w:rPr>
          <w:rFonts w:hint="eastAsia" w:ascii="仿宋_GB2312" w:eastAsia="仿宋_GB2312"/>
          <w:szCs w:val="32"/>
        </w:rPr>
        <w:t>3、社会保障和就业支出（类）社会福利（款）死亡抚恤（项）。年初预算为0万元，支出决算为5.54万元。决算数大于预算数主要原因是此资金为年中退休职工死亡追加的死亡抚恤资金。</w:t>
      </w:r>
    </w:p>
    <w:p>
      <w:pPr>
        <w:spacing w:line="580" w:lineRule="exact"/>
        <w:ind w:firstLine="640" w:firstLineChars="200"/>
        <w:rPr>
          <w:rFonts w:hint="eastAsia" w:ascii="仿宋_GB2312" w:eastAsia="仿宋_GB2312"/>
          <w:szCs w:val="32"/>
        </w:rPr>
      </w:pPr>
      <w:r>
        <w:rPr>
          <w:rFonts w:hint="eastAsia" w:ascii="仿宋_GB2312" w:eastAsia="仿宋_GB2312"/>
          <w:szCs w:val="32"/>
        </w:rPr>
        <w:t>4、社会保障和就业支出（类）社会福利（款）儿童福利（项）。年初预算为0万元，支出决算为94.39万元。决算数大于预算数主要原因是年中追加资金。</w:t>
      </w:r>
    </w:p>
    <w:p>
      <w:pPr>
        <w:spacing w:line="580" w:lineRule="exact"/>
        <w:ind w:firstLine="640" w:firstLineChars="200"/>
        <w:rPr>
          <w:rFonts w:hint="eastAsia" w:ascii="仿宋_GB2312" w:eastAsia="仿宋_GB2312"/>
          <w:szCs w:val="32"/>
        </w:rPr>
      </w:pPr>
      <w:r>
        <w:rPr>
          <w:rFonts w:hint="eastAsia" w:ascii="仿宋_GB2312" w:eastAsia="仿宋_GB2312"/>
          <w:szCs w:val="32"/>
        </w:rPr>
        <w:t>5、社会保障和就业支出（类）社会福利（款）社会福利事业单位（项）。年初预算为1606.8万元，支出决算为1563.86万元，完成年初预算的97.33%。决算数小于年初预算数主要原因是因疫情导致项目资金缩减。</w:t>
      </w:r>
    </w:p>
    <w:p>
      <w:pPr>
        <w:spacing w:line="580" w:lineRule="exact"/>
        <w:ind w:firstLine="640" w:firstLineChars="200"/>
        <w:rPr>
          <w:rFonts w:hint="eastAsia" w:ascii="仿宋_GB2312" w:eastAsia="仿宋_GB2312"/>
          <w:szCs w:val="32"/>
        </w:rPr>
      </w:pPr>
      <w:r>
        <w:rPr>
          <w:rFonts w:hint="eastAsia" w:ascii="仿宋_GB2312" w:eastAsia="仿宋_GB2312"/>
          <w:szCs w:val="32"/>
        </w:rPr>
        <w:t>6、社会保障和就业支出（类）其他社会保障和就业支出（款）其他社会保障和就业支出（项）。年初预算为4.30万元，支出决算为4.51万元，完成年初预算的104.88%。决算数大于预算数主要原因是此资金为年中追加资金。</w:t>
      </w:r>
    </w:p>
    <w:p>
      <w:pPr>
        <w:spacing w:line="580" w:lineRule="exact"/>
        <w:ind w:firstLine="640" w:firstLineChars="200"/>
        <w:rPr>
          <w:rFonts w:hint="eastAsia" w:ascii="仿宋_GB2312" w:eastAsia="仿宋_GB2312"/>
          <w:szCs w:val="32"/>
        </w:rPr>
      </w:pPr>
      <w:r>
        <w:rPr>
          <w:rFonts w:hint="eastAsia" w:ascii="仿宋_GB2312" w:eastAsia="仿宋_GB2312"/>
          <w:szCs w:val="32"/>
        </w:rPr>
        <w:t>7、卫生健康支出（类）行政事业单位医疗（款）事业单位医疗（项）。年初预算为28.80万元，支出决算为39.67万元，完成年初预算的137.74%。决算数大于预算数主要原因是此资金为年中追加资金。</w:t>
      </w:r>
    </w:p>
    <w:p>
      <w:pPr>
        <w:spacing w:line="580" w:lineRule="exact"/>
        <w:ind w:firstLine="640" w:firstLineChars="200"/>
        <w:rPr>
          <w:rFonts w:hint="eastAsia" w:ascii="仿宋_GB2312" w:eastAsia="仿宋_GB2312"/>
          <w:szCs w:val="32"/>
        </w:rPr>
      </w:pPr>
      <w:r>
        <w:rPr>
          <w:rFonts w:hint="eastAsia" w:ascii="仿宋_GB2312" w:eastAsia="仿宋_GB2312"/>
          <w:szCs w:val="32"/>
        </w:rPr>
        <w:t>8、卫生健康支出（类）行政事业单位医疗（款）公务员医疗补助（项）。年初预算为14.80万元，支出决算为24.76万元，完成年初预算的167.3%。决算数大于预算数主要原因是此资金为年中追加资金。</w:t>
      </w:r>
    </w:p>
    <w:p>
      <w:pPr>
        <w:spacing w:line="580" w:lineRule="exact"/>
        <w:ind w:firstLine="640" w:firstLineChars="200"/>
        <w:rPr>
          <w:rFonts w:hint="eastAsia" w:ascii="仿宋_GB2312" w:eastAsia="仿宋_GB2312"/>
          <w:szCs w:val="32"/>
        </w:rPr>
      </w:pPr>
      <w:r>
        <w:rPr>
          <w:rFonts w:hint="eastAsia" w:ascii="仿宋_GB2312" w:eastAsia="仿宋_GB2312"/>
          <w:szCs w:val="32"/>
        </w:rPr>
        <w:t>9、住房保障支出（类）住房改革支出（款）住房公积金（项）。年初预算为0万元，支出决算为4.04万元。决算数大于年初预算数的主要原因是职工公积金基数调增。</w:t>
      </w:r>
    </w:p>
    <w:p>
      <w:pPr>
        <w:spacing w:line="580" w:lineRule="exact"/>
        <w:ind w:firstLine="640" w:firstLineChars="200"/>
        <w:rPr>
          <w:rFonts w:hint="eastAsia" w:ascii="黑体" w:hAnsi="黑体" w:eastAsia="黑体"/>
          <w:szCs w:val="32"/>
        </w:rPr>
      </w:pPr>
      <w:r>
        <w:rPr>
          <w:rFonts w:hint="eastAsia" w:ascii="黑体" w:hAnsi="黑体" w:eastAsia="黑体"/>
          <w:szCs w:val="32"/>
        </w:rPr>
        <w:t>六、一般公共预算财政拨款基本支出决算情况说明</w:t>
      </w:r>
    </w:p>
    <w:p>
      <w:pPr>
        <w:spacing w:line="580" w:lineRule="exact"/>
        <w:ind w:firstLine="640" w:firstLineChars="200"/>
        <w:rPr>
          <w:rFonts w:hint="eastAsia" w:ascii="仿宋_GB2312" w:eastAsia="仿宋_GB2312"/>
          <w:szCs w:val="32"/>
        </w:rPr>
      </w:pPr>
      <w:r>
        <w:rPr>
          <w:rFonts w:hint="eastAsia" w:ascii="仿宋_GB2312" w:eastAsia="仿宋_GB2312"/>
          <w:szCs w:val="32"/>
        </w:rPr>
        <w:t>2021年度一般公共预算财政拨款基本支出决算1126.71万元，包括人员经费和公用经费，支出具体情况如下：</w:t>
      </w:r>
    </w:p>
    <w:p>
      <w:pPr>
        <w:spacing w:line="580" w:lineRule="exact"/>
        <w:ind w:firstLine="640" w:firstLineChars="200"/>
        <w:rPr>
          <w:rFonts w:hint="eastAsia" w:ascii="仿宋_GB2312" w:eastAsia="仿宋_GB2312"/>
          <w:szCs w:val="32"/>
        </w:rPr>
      </w:pPr>
      <w:r>
        <w:rPr>
          <w:rFonts w:hint="eastAsia" w:ascii="仿宋_GB2312" w:eastAsia="仿宋_GB2312"/>
          <w:szCs w:val="32"/>
        </w:rPr>
        <w:t>1、人员经费1001.04万元，主要包括：基本工资、津贴补贴、奖金、机关事业单位基本养老保险缴费、职业年金缴费、职工基本医疗保险缴费元、公务员医疗补助缴费、其他社会保障缴费、住房公积金、其他工资福利支出、离休费、退职（役）费、抚恤金、生活补助、其他对个人和家庭补助支出等。</w:t>
      </w:r>
    </w:p>
    <w:p>
      <w:pPr>
        <w:spacing w:line="580" w:lineRule="exact"/>
        <w:ind w:firstLine="640" w:firstLineChars="200"/>
        <w:rPr>
          <w:rFonts w:hint="eastAsia" w:ascii="仿宋_GB2312" w:eastAsia="仿宋_GB2312"/>
          <w:szCs w:val="32"/>
        </w:rPr>
      </w:pPr>
      <w:r>
        <w:rPr>
          <w:rFonts w:hint="eastAsia" w:ascii="仿宋_GB2312" w:eastAsia="仿宋_GB2312"/>
          <w:szCs w:val="32"/>
        </w:rPr>
        <w:t>2、公用经费125.67万元，主要包括：办公费、印刷费、水费、电费、邮电费、取暖费、差旅费、维修（护）费、培训费劳务费、工会经费、福利费、公务用车维护费、其他交通费用、税金及附加费用、其他商品和服务支出等。</w:t>
      </w:r>
    </w:p>
    <w:p>
      <w:pPr>
        <w:spacing w:line="580" w:lineRule="exact"/>
        <w:ind w:firstLine="640" w:firstLineChars="200"/>
        <w:rPr>
          <w:rFonts w:hint="eastAsia" w:ascii="黑体" w:hAnsi="黑体" w:eastAsia="黑体"/>
          <w:szCs w:val="32"/>
        </w:rPr>
      </w:pPr>
      <w:r>
        <w:rPr>
          <w:rFonts w:hint="eastAsia" w:ascii="黑体" w:hAnsi="黑体" w:eastAsia="黑体"/>
          <w:szCs w:val="32"/>
        </w:rPr>
        <w:t>七、一般公共预算财政拨款“三公”经费支出决算情况说明</w:t>
      </w:r>
    </w:p>
    <w:p>
      <w:pPr>
        <w:spacing w:line="580" w:lineRule="exact"/>
        <w:ind w:firstLine="640" w:firstLineChars="200"/>
        <w:rPr>
          <w:rFonts w:hint="eastAsia" w:ascii="楷体_GB2312" w:eastAsia="楷体_GB2312"/>
          <w:szCs w:val="32"/>
        </w:rPr>
      </w:pPr>
      <w:r>
        <w:rPr>
          <w:rFonts w:hint="eastAsia" w:ascii="楷体_GB2312" w:eastAsia="楷体_GB2312"/>
          <w:szCs w:val="32"/>
        </w:rPr>
        <w:t>（一）“三公”经费支出决算总体情况说明</w:t>
      </w:r>
    </w:p>
    <w:p>
      <w:pPr>
        <w:spacing w:line="580" w:lineRule="exact"/>
        <w:ind w:firstLine="640" w:firstLineChars="200"/>
        <w:rPr>
          <w:rFonts w:hint="eastAsia" w:ascii="仿宋_GB2312" w:eastAsia="仿宋_GB2312"/>
          <w:szCs w:val="32"/>
        </w:rPr>
      </w:pPr>
      <w:r>
        <w:rPr>
          <w:rFonts w:hint="eastAsia" w:ascii="仿宋_GB2312" w:eastAsia="仿宋_GB2312"/>
          <w:szCs w:val="32"/>
        </w:rPr>
        <w:t>2021年度一般公共预算财政拨款“三公”经费支出年初预算为7.40万元，支出决算为2.56万元，比年初预算减少4.84万元，完成年初预算的65.41%， 决算数小于年初预算数的主要原因是厉行节约和疫情发生导致三公费用减少。</w:t>
      </w:r>
    </w:p>
    <w:p>
      <w:pPr>
        <w:spacing w:line="580" w:lineRule="exact"/>
        <w:ind w:firstLine="640" w:firstLineChars="200"/>
        <w:rPr>
          <w:rFonts w:hint="eastAsia" w:ascii="楷体_GB2312" w:eastAsia="楷体_GB2312"/>
          <w:szCs w:val="32"/>
        </w:rPr>
      </w:pPr>
      <w:r>
        <w:rPr>
          <w:rFonts w:hint="eastAsia" w:ascii="楷体_GB2312" w:eastAsia="楷体_GB2312"/>
          <w:szCs w:val="32"/>
        </w:rPr>
        <w:t>（二）“三公”经费支出决算具体情况</w:t>
      </w:r>
    </w:p>
    <w:p>
      <w:pPr>
        <w:spacing w:line="580" w:lineRule="exact"/>
        <w:ind w:firstLine="640" w:firstLineChars="200"/>
        <w:rPr>
          <w:rFonts w:hint="eastAsia" w:ascii="仿宋_GB2312" w:eastAsia="仿宋_GB2312"/>
          <w:szCs w:val="32"/>
        </w:rPr>
      </w:pPr>
      <w:r>
        <w:rPr>
          <w:rFonts w:hint="eastAsia" w:ascii="仿宋_GB2312" w:eastAsia="仿宋_GB2312"/>
          <w:szCs w:val="32"/>
        </w:rPr>
        <w:t>1、因公出国（境）费年初预算为0万元，支出决算为0万元，与2021年预算持平。</w:t>
      </w:r>
    </w:p>
    <w:p>
      <w:pPr>
        <w:spacing w:line="580" w:lineRule="exact"/>
        <w:ind w:firstLine="640" w:firstLineChars="200"/>
        <w:rPr>
          <w:rFonts w:hint="eastAsia" w:ascii="仿宋_GB2312" w:eastAsia="仿宋_GB2312"/>
          <w:szCs w:val="32"/>
        </w:rPr>
      </w:pPr>
      <w:r>
        <w:rPr>
          <w:rFonts w:hint="eastAsia" w:ascii="仿宋_GB2312" w:eastAsia="仿宋_GB2312"/>
          <w:szCs w:val="32"/>
        </w:rPr>
        <w:t>全年支出涉及因公出国（境）团组0个，累计0人次。</w:t>
      </w:r>
    </w:p>
    <w:p>
      <w:pPr>
        <w:spacing w:line="580" w:lineRule="exact"/>
        <w:ind w:firstLine="640" w:firstLineChars="200"/>
        <w:rPr>
          <w:rFonts w:hint="eastAsia" w:ascii="仿宋_GB2312" w:eastAsia="仿宋_GB2312"/>
          <w:szCs w:val="32"/>
        </w:rPr>
      </w:pPr>
      <w:r>
        <w:rPr>
          <w:rFonts w:hint="eastAsia" w:ascii="仿宋_GB2312" w:eastAsia="仿宋_GB2312"/>
          <w:szCs w:val="32"/>
        </w:rPr>
        <w:t>2、公务用车购置及运行维护费年初预算为6万元，支出决算为2.38万元，比年初预算减少3.62万元，完成年初预算的39.67%， 决算数小于年初预算数的主要原因是厉行节约和疫情发生导致公务用车费用减少。</w:t>
      </w:r>
    </w:p>
    <w:p>
      <w:pPr>
        <w:spacing w:line="580" w:lineRule="exact"/>
        <w:ind w:firstLine="640" w:firstLineChars="200"/>
        <w:rPr>
          <w:rFonts w:hint="eastAsia" w:ascii="仿宋_GB2312" w:eastAsia="仿宋_GB2312"/>
          <w:szCs w:val="32"/>
        </w:rPr>
      </w:pPr>
      <w:r>
        <w:rPr>
          <w:rFonts w:hint="eastAsia" w:ascii="仿宋_GB2312" w:eastAsia="仿宋_GB2312"/>
          <w:szCs w:val="32"/>
        </w:rPr>
        <w:t>其中：</w:t>
      </w:r>
    </w:p>
    <w:p>
      <w:pPr>
        <w:spacing w:line="580" w:lineRule="exact"/>
        <w:ind w:firstLine="640" w:firstLineChars="200"/>
        <w:rPr>
          <w:rFonts w:hint="eastAsia" w:ascii="仿宋_GB2312" w:eastAsia="仿宋_GB2312"/>
          <w:szCs w:val="32"/>
        </w:rPr>
      </w:pPr>
      <w:r>
        <w:rPr>
          <w:rFonts w:hint="eastAsia" w:ascii="仿宋_GB2312" w:eastAsia="仿宋_GB2312"/>
          <w:szCs w:val="32"/>
        </w:rPr>
        <w:t>公务用车购置费支出0万元，2021年泰安市社会福利院使用财政拨款购置公务用车0辆。</w:t>
      </w:r>
    </w:p>
    <w:p>
      <w:pPr>
        <w:spacing w:line="580" w:lineRule="exact"/>
        <w:ind w:firstLine="640" w:firstLineChars="200"/>
        <w:rPr>
          <w:rFonts w:hint="eastAsia" w:ascii="仿宋_GB2312" w:eastAsia="仿宋_GB2312"/>
          <w:szCs w:val="32"/>
        </w:rPr>
      </w:pPr>
      <w:r>
        <w:rPr>
          <w:rFonts w:hint="eastAsia" w:ascii="仿宋_GB2312" w:eastAsia="仿宋_GB2312"/>
          <w:szCs w:val="32"/>
        </w:rPr>
        <w:t>公务用车运行维护费2.38万元，主要是按规定保留的公务用车的燃料费、维修费、保险。截至2021年12月31日，泰安市社会福利院财政拨款开支运行维护费的公务用车保有量为2辆。</w:t>
      </w:r>
    </w:p>
    <w:p>
      <w:pPr>
        <w:spacing w:line="580" w:lineRule="exact"/>
        <w:ind w:firstLine="640" w:firstLineChars="200"/>
        <w:rPr>
          <w:rFonts w:hint="eastAsia" w:ascii="仿宋_GB2312" w:eastAsia="仿宋_GB2312"/>
          <w:szCs w:val="32"/>
        </w:rPr>
      </w:pPr>
      <w:r>
        <w:rPr>
          <w:rFonts w:hint="eastAsia" w:ascii="仿宋_GB2312" w:eastAsia="仿宋_GB2312"/>
          <w:szCs w:val="32"/>
        </w:rPr>
        <w:t>3、公务接待费年初预算为1.40万元，支出决算为0.18万元，比年初预算减少1.22万元，完成年初预算的12.86%， 决算数小于年初预算数的主要原因是厉行节约和疫情发生导致公务接待支出减少。</w:t>
      </w:r>
    </w:p>
    <w:p>
      <w:pPr>
        <w:spacing w:line="580" w:lineRule="exact"/>
        <w:ind w:firstLine="640" w:firstLineChars="200"/>
        <w:rPr>
          <w:rFonts w:hint="eastAsia" w:ascii="仿宋_GB2312" w:eastAsia="仿宋_GB2312"/>
          <w:szCs w:val="32"/>
        </w:rPr>
      </w:pPr>
      <w:r>
        <w:rPr>
          <w:rFonts w:hint="eastAsia" w:ascii="仿宋_GB2312" w:eastAsia="仿宋_GB2312"/>
          <w:szCs w:val="32"/>
        </w:rPr>
        <w:t>其中：</w:t>
      </w:r>
    </w:p>
    <w:p>
      <w:pPr>
        <w:spacing w:line="580" w:lineRule="exact"/>
        <w:ind w:firstLine="640" w:firstLineChars="200"/>
        <w:rPr>
          <w:rFonts w:hint="eastAsia" w:ascii="仿宋_GB2312" w:eastAsia="仿宋_GB2312"/>
          <w:szCs w:val="32"/>
        </w:rPr>
      </w:pPr>
      <w:r>
        <w:rPr>
          <w:rFonts w:hint="eastAsia" w:ascii="仿宋_GB2312" w:eastAsia="仿宋_GB2312"/>
          <w:szCs w:val="32"/>
        </w:rPr>
        <w:t>国内接待费0.18万元，主要用于接待上级安全检查，共计接待2批次</w:t>
      </w:r>
      <w:r>
        <w:rPr>
          <w:rFonts w:hint="eastAsia" w:ascii="仿宋_GB2312" w:eastAsia="仿宋_GB2312"/>
          <w:color w:val="000000"/>
          <w:szCs w:val="32"/>
        </w:rPr>
        <w:t>、9人次（</w:t>
      </w:r>
      <w:r>
        <w:rPr>
          <w:rFonts w:hint="eastAsia" w:ascii="仿宋_GB2312" w:eastAsia="仿宋_GB2312"/>
          <w:szCs w:val="32"/>
        </w:rPr>
        <w:t>含外事接待0批次、0人次）；</w:t>
      </w:r>
    </w:p>
    <w:p>
      <w:pPr>
        <w:spacing w:line="580" w:lineRule="exact"/>
        <w:ind w:firstLine="640" w:firstLineChars="200"/>
        <w:rPr>
          <w:rFonts w:hint="eastAsia" w:ascii="仿宋_GB2312" w:eastAsia="仿宋_GB2312"/>
          <w:szCs w:val="32"/>
        </w:rPr>
      </w:pPr>
      <w:r>
        <w:rPr>
          <w:rFonts w:hint="eastAsia" w:ascii="仿宋_GB2312" w:eastAsia="仿宋_GB2312"/>
          <w:szCs w:val="32"/>
        </w:rPr>
        <w:t>国（境）外接待费0万元，共计接待0批次、0人次。</w:t>
      </w:r>
    </w:p>
    <w:p>
      <w:pPr>
        <w:spacing w:line="580" w:lineRule="exact"/>
        <w:ind w:firstLine="640" w:firstLineChars="200"/>
        <w:rPr>
          <w:rFonts w:hint="eastAsia" w:ascii="黑体" w:hAnsi="黑体" w:eastAsia="黑体"/>
          <w:szCs w:val="32"/>
        </w:rPr>
      </w:pPr>
      <w:r>
        <w:rPr>
          <w:rFonts w:hint="eastAsia" w:ascii="黑体" w:hAnsi="黑体" w:eastAsia="黑体"/>
          <w:szCs w:val="32"/>
        </w:rPr>
        <w:t>八、政府性基金预算财政拨款收入支出决算情况说明</w:t>
      </w:r>
    </w:p>
    <w:p>
      <w:pPr>
        <w:spacing w:line="580" w:lineRule="exact"/>
        <w:ind w:firstLine="640" w:firstLineChars="200"/>
        <w:rPr>
          <w:rFonts w:hint="eastAsia" w:ascii="仿宋_GB2312" w:eastAsia="仿宋_GB2312"/>
          <w:szCs w:val="32"/>
        </w:rPr>
      </w:pPr>
      <w:r>
        <w:rPr>
          <w:rFonts w:hint="eastAsia" w:ascii="仿宋_GB2312" w:eastAsia="仿宋_GB2312"/>
          <w:szCs w:val="32"/>
        </w:rPr>
        <w:t>2021年度政府性基金预算财政拨款年初结转和结余68.58万元，本年收入524.11万元，本年支出592.69万元，年末结转和结余0万元。支出具体情况如下：</w:t>
      </w:r>
    </w:p>
    <w:p>
      <w:pPr>
        <w:spacing w:line="580" w:lineRule="exact"/>
        <w:ind w:firstLine="640" w:firstLineChars="200"/>
        <w:rPr>
          <w:rFonts w:hint="eastAsia" w:ascii="仿宋_GB2312" w:eastAsia="仿宋_GB2312"/>
          <w:szCs w:val="32"/>
        </w:rPr>
      </w:pPr>
      <w:r>
        <w:rPr>
          <w:rFonts w:hint="eastAsia" w:ascii="仿宋_GB2312" w:hAnsi="宋体" w:eastAsia="仿宋_GB2312" w:cs="Courier New"/>
          <w:szCs w:val="32"/>
        </w:rPr>
        <w:t>其他支出（类）彩票公益金安排的支出（款）用于社会福利的彩票公益金支出（项）。</w:t>
      </w:r>
      <w:r>
        <w:rPr>
          <w:rFonts w:hint="eastAsia" w:ascii="仿宋_GB2312" w:eastAsia="仿宋_GB2312"/>
          <w:szCs w:val="32"/>
        </w:rPr>
        <w:t>年初预算为551万元，支出决算为592.69万元，完成年初预算的107.57%。决算数大于预算数主要原因是此资金支出包含上年结转金额。</w:t>
      </w:r>
    </w:p>
    <w:p>
      <w:pPr>
        <w:spacing w:line="580" w:lineRule="exact"/>
        <w:ind w:firstLine="640" w:firstLineChars="200"/>
        <w:rPr>
          <w:rFonts w:hint="eastAsia" w:ascii="黑体" w:hAnsi="黑体" w:eastAsia="黑体"/>
          <w:szCs w:val="32"/>
        </w:rPr>
      </w:pPr>
      <w:r>
        <w:rPr>
          <w:rFonts w:hint="eastAsia" w:ascii="黑体" w:hAnsi="黑体" w:eastAsia="黑体"/>
          <w:szCs w:val="32"/>
        </w:rPr>
        <w:t>九、国有资本经营预算财政拨款支出决算情况说明</w:t>
      </w:r>
    </w:p>
    <w:p>
      <w:pPr>
        <w:spacing w:line="580" w:lineRule="exact"/>
        <w:ind w:firstLine="640" w:firstLineChars="200"/>
        <w:rPr>
          <w:rFonts w:hint="eastAsia" w:ascii="仿宋_GB2312" w:eastAsia="仿宋_GB2312"/>
          <w:bCs/>
          <w:szCs w:val="32"/>
        </w:rPr>
      </w:pPr>
      <w:r>
        <w:rPr>
          <w:rFonts w:hint="eastAsia" w:ascii="仿宋_GB2312" w:eastAsia="仿宋_GB2312"/>
          <w:bCs/>
          <w:szCs w:val="32"/>
        </w:rPr>
        <w:t>本单位没有使用国有资本经营预算安排的支出。</w:t>
      </w:r>
    </w:p>
    <w:p>
      <w:pPr>
        <w:spacing w:line="580" w:lineRule="exact"/>
        <w:ind w:firstLine="640" w:firstLineChars="200"/>
        <w:rPr>
          <w:rFonts w:hint="eastAsia" w:ascii="黑体" w:hAnsi="黑体" w:eastAsia="黑体"/>
          <w:szCs w:val="32"/>
        </w:rPr>
      </w:pPr>
      <w:r>
        <w:rPr>
          <w:rFonts w:hint="eastAsia" w:ascii="黑体" w:hAnsi="黑体" w:eastAsia="黑体"/>
          <w:szCs w:val="32"/>
        </w:rPr>
        <w:t xml:space="preserve">十、其他重要事项情况说明 </w:t>
      </w:r>
    </w:p>
    <w:p>
      <w:pPr>
        <w:spacing w:line="580" w:lineRule="exact"/>
        <w:ind w:firstLine="640" w:firstLineChars="200"/>
        <w:rPr>
          <w:rFonts w:hint="eastAsia" w:ascii="楷体_GB2312" w:eastAsia="楷体_GB2312"/>
          <w:szCs w:val="32"/>
        </w:rPr>
      </w:pPr>
      <w:r>
        <w:rPr>
          <w:rFonts w:hint="eastAsia" w:ascii="楷体_GB2312" w:eastAsia="楷体_GB2312"/>
          <w:szCs w:val="32"/>
        </w:rPr>
        <w:t>（一）机关运行经费支出情况</w:t>
      </w:r>
    </w:p>
    <w:p>
      <w:pPr>
        <w:spacing w:line="580" w:lineRule="exact"/>
        <w:ind w:firstLine="640" w:firstLineChars="200"/>
        <w:rPr>
          <w:rFonts w:hint="eastAsia" w:ascii="仿宋_GB2312" w:eastAsia="仿宋_GB2312"/>
          <w:b/>
          <w:szCs w:val="32"/>
        </w:rPr>
      </w:pPr>
      <w:r>
        <w:rPr>
          <w:rFonts w:hint="eastAsia" w:ascii="仿宋_GB2312" w:eastAsia="仿宋_GB2312"/>
          <w:szCs w:val="32"/>
        </w:rPr>
        <w:t>2021年度机关运行经费支出0万元，</w:t>
      </w:r>
      <w:r>
        <w:rPr>
          <w:rFonts w:hint="eastAsia" w:ascii="仿宋_GB2312" w:hAnsi="宋体" w:eastAsia="仿宋_GB2312" w:cs="Courier New"/>
          <w:szCs w:val="32"/>
        </w:rPr>
        <w:t>与2021年预算基本持平0万元。我单位是全额公益一类事业单位不存在机关运行经费支出。</w:t>
      </w:r>
    </w:p>
    <w:p>
      <w:pPr>
        <w:spacing w:line="580" w:lineRule="exact"/>
        <w:ind w:firstLine="640" w:firstLineChars="200"/>
        <w:rPr>
          <w:rFonts w:hint="eastAsia" w:ascii="楷体_GB2312" w:eastAsia="楷体_GB2312"/>
          <w:szCs w:val="32"/>
        </w:rPr>
      </w:pPr>
      <w:r>
        <w:rPr>
          <w:rFonts w:hint="eastAsia" w:ascii="楷体_GB2312" w:eastAsia="楷体_GB2312"/>
          <w:szCs w:val="32"/>
        </w:rPr>
        <w:t>（二）政府采购支出情况</w:t>
      </w:r>
    </w:p>
    <w:p>
      <w:pPr>
        <w:autoSpaceDE w:val="0"/>
        <w:autoSpaceDN w:val="0"/>
        <w:adjustRightInd w:val="0"/>
        <w:spacing w:line="580" w:lineRule="exact"/>
        <w:ind w:firstLine="640" w:firstLineChars="200"/>
        <w:jc w:val="left"/>
        <w:rPr>
          <w:rFonts w:hint="eastAsia" w:ascii="仿宋_GB2312" w:hAnsi="宋体" w:eastAsia="仿宋_GB2312" w:cs="Courier New"/>
          <w:szCs w:val="32"/>
        </w:rPr>
      </w:pPr>
      <w:r>
        <w:rPr>
          <w:rFonts w:hint="eastAsia" w:ascii="仿宋_GB2312" w:hAnsi="宋体" w:eastAsia="仿宋_GB2312" w:cs="Courier New"/>
          <w:szCs w:val="32"/>
        </w:rPr>
        <w:t>2021年度政府采购支出总额912.21万元，其中：政府采购货物支出76.22万元、政府采购工程支出709.91万元、政府采购服务支出126.08万元。授予中小企业合同金额318.17万元，占政府采购支出总额的34.88%，其中：授予小微企业合同金额318.17万元，占政府采购支出总额的34.88%。货物采购授予中小企业合同金额占货物支出金额的100%，工程采购授予中小企业合同金额占工程支出金额的16.32%，服务采购授予中小企业合同金额占服务支出金额的100%。</w:t>
      </w:r>
    </w:p>
    <w:p>
      <w:pPr>
        <w:spacing w:line="580" w:lineRule="exact"/>
        <w:ind w:firstLine="640" w:firstLineChars="200"/>
        <w:rPr>
          <w:rFonts w:hint="eastAsia" w:ascii="楷体_GB2312" w:eastAsia="楷体_GB2312"/>
          <w:szCs w:val="32"/>
        </w:rPr>
      </w:pPr>
      <w:r>
        <w:rPr>
          <w:rFonts w:hint="eastAsia" w:ascii="楷体_GB2312" w:eastAsia="楷体_GB2312"/>
          <w:szCs w:val="32"/>
        </w:rPr>
        <w:t>（三）国有资产占用情况</w:t>
      </w:r>
    </w:p>
    <w:p>
      <w:pPr>
        <w:spacing w:line="580" w:lineRule="exact"/>
        <w:ind w:firstLine="640" w:firstLineChars="200"/>
        <w:rPr>
          <w:rFonts w:hint="eastAsia" w:ascii="仿宋_GB2312" w:eastAsia="仿宋_GB2312"/>
          <w:szCs w:val="32"/>
        </w:rPr>
      </w:pPr>
      <w:r>
        <w:rPr>
          <w:rFonts w:hint="eastAsia" w:ascii="仿宋_GB2312" w:eastAsia="仿宋_GB2312"/>
          <w:szCs w:val="32"/>
        </w:rPr>
        <w:t>截至 2021 年 12 月 31 日，本单位共有车辆 2 辆，其中，符合规定领导干部用车0辆、机要通信用车0辆、应急保障用车0辆、执法执勤用车0辆、特种专业技术用车0辆、离退休干部用车0辆、其他用车2辆，其他用车主要是用于接送院内老人、孩子住院和孩子上学之用；单位价值 50 万元以上通用设备 0 台（套）；单位价值 100 万元以上专用设备 0 台（套）。</w:t>
      </w:r>
    </w:p>
    <w:p>
      <w:pPr>
        <w:spacing w:line="580" w:lineRule="exact"/>
        <w:ind w:firstLine="640" w:firstLineChars="200"/>
        <w:rPr>
          <w:rFonts w:hint="eastAsia" w:ascii="黑体" w:hAnsi="黑体" w:eastAsia="黑体"/>
          <w:szCs w:val="32"/>
        </w:rPr>
      </w:pPr>
      <w:r>
        <w:rPr>
          <w:rFonts w:hint="eastAsia" w:ascii="黑体" w:hAnsi="黑体" w:eastAsia="黑体"/>
          <w:szCs w:val="32"/>
        </w:rPr>
        <w:t>十一、预算绩效情况说明</w:t>
      </w:r>
    </w:p>
    <w:p>
      <w:pPr>
        <w:spacing w:line="580" w:lineRule="exact"/>
        <w:ind w:firstLine="640" w:firstLineChars="200"/>
        <w:rPr>
          <w:rFonts w:hint="eastAsia" w:ascii="仿宋_GB2312" w:eastAsia="仿宋_GB2312"/>
          <w:kern w:val="0"/>
          <w:szCs w:val="32"/>
        </w:rPr>
      </w:pPr>
      <w:r>
        <w:rPr>
          <w:rFonts w:hint="eastAsia" w:ascii="楷体_GB2312" w:eastAsia="楷体_GB2312"/>
          <w:bCs/>
          <w:kern w:val="0"/>
          <w:szCs w:val="32"/>
        </w:rPr>
        <w:t>（一）预算绩效管理工作开展情况。</w:t>
      </w:r>
      <w:r>
        <w:rPr>
          <w:rFonts w:hint="eastAsia" w:ascii="仿宋_GB2312" w:eastAsia="仿宋_GB2312"/>
          <w:kern w:val="0"/>
          <w:szCs w:val="32"/>
        </w:rPr>
        <w:t>根据预算绩效管理要求，我单位按照“谁用款、谁评价”的原则，组织对2021年度市级预算项目支出进行全面自评，涵盖项11个，涉及预算资金1355.68万元，占单位预算项目支出总额的100%。</w:t>
      </w:r>
    </w:p>
    <w:p>
      <w:pPr>
        <w:spacing w:line="580" w:lineRule="exact"/>
        <w:ind w:firstLine="640" w:firstLineChars="200"/>
        <w:rPr>
          <w:rFonts w:hint="eastAsia" w:ascii="仿宋_GB2312" w:eastAsia="仿宋_GB2312"/>
          <w:kern w:val="0"/>
          <w:szCs w:val="32"/>
        </w:rPr>
      </w:pPr>
      <w:r>
        <w:rPr>
          <w:rFonts w:hint="eastAsia" w:ascii="仿宋_GB2312" w:eastAsia="仿宋_GB2312" w:cs="仿宋_GB2312"/>
          <w:szCs w:val="32"/>
        </w:rPr>
        <w:t>本单位无重点绩效评价项目。</w:t>
      </w:r>
    </w:p>
    <w:p>
      <w:pPr>
        <w:spacing w:line="580" w:lineRule="exact"/>
        <w:ind w:firstLine="640" w:firstLineChars="200"/>
        <w:rPr>
          <w:rFonts w:hint="eastAsia" w:ascii="仿宋_GB2312" w:eastAsia="仿宋_GB2312" w:cs="仿宋_GB2312"/>
          <w:szCs w:val="32"/>
        </w:rPr>
      </w:pPr>
      <w:r>
        <w:rPr>
          <w:rFonts w:hint="eastAsia" w:ascii="楷体_GB2312" w:eastAsia="楷体_GB2312"/>
          <w:bCs/>
          <w:kern w:val="0"/>
          <w:szCs w:val="32"/>
        </w:rPr>
        <w:t>（二）项目绩效自评结果。</w:t>
      </w:r>
      <w:r>
        <w:rPr>
          <w:rFonts w:hint="eastAsia" w:ascii="仿宋_GB2312" w:eastAsia="仿宋_GB2312"/>
          <w:szCs w:val="32"/>
        </w:rPr>
        <w:t>泰安市社会福利院2021年度市级预算项目支出绩效自评的11个项目中，11个项目自评等级为优，0 个项目自评等级为良，0 个项目自评等级为中，0 个项目自评等级为差。</w:t>
      </w:r>
      <w:r>
        <w:rPr>
          <w:rFonts w:hint="eastAsia" w:ascii="仿宋_GB2312" w:eastAsia="仿宋_GB2312" w:cs="仿宋_GB2312"/>
          <w:szCs w:val="32"/>
        </w:rPr>
        <w:t>从自评情况看，项目支出绩效管理的重视程度进一步提升，大部分项目有序开展，执行和完成情况较好，资金使用比较规范。</w:t>
      </w:r>
    </w:p>
    <w:p>
      <w:pPr>
        <w:spacing w:line="580" w:lineRule="exact"/>
        <w:ind w:firstLine="640" w:firstLineChars="200"/>
        <w:rPr>
          <w:rFonts w:ascii="仿宋_GB2312" w:eastAsia="仿宋_GB2312"/>
          <w:szCs w:val="32"/>
        </w:rPr>
      </w:pPr>
      <w:r>
        <w:rPr>
          <w:rFonts w:hint="eastAsia" w:ascii="仿宋_GB2312" w:eastAsia="仿宋_GB2312"/>
          <w:szCs w:val="32"/>
        </w:rPr>
        <w:t>今年在单位决算中反映了2021年度预算项目支出绩效自评情况，以及孤残儿童康复项目的绩效自评结果。</w:t>
      </w:r>
    </w:p>
    <w:p>
      <w:pPr>
        <w:spacing w:line="580" w:lineRule="exact"/>
        <w:ind w:firstLine="640" w:firstLineChars="200"/>
        <w:jc w:val="left"/>
        <w:rPr>
          <w:rFonts w:hint="eastAsia" w:ascii="仿宋_GB2312" w:eastAsia="仿宋_GB2312" w:cs="仿宋_GB2312"/>
          <w:szCs w:val="32"/>
        </w:rPr>
      </w:pPr>
      <w:r>
        <w:rPr>
          <w:rFonts w:hint="eastAsia" w:ascii="仿宋_GB2312" w:eastAsia="仿宋_GB2312"/>
          <w:szCs w:val="32"/>
        </w:rPr>
        <w:t>孤残儿童康复项目自评综述：根据年初设定的绩效目标，项目自评得分为99.21分。全年预算数为75万元，执行数为64.95万元，完成预算的86.6%。项目绩效目标完成情况：一是通过项目实施有效保障了孤残儿童康复设备和软件的购置；二是保障了孤残儿童脑瘫和智障康复项目的实施；三是通过项目实施提高了残疾孤儿的生存状况，改善了残障孤儿的残疾程度。发现的主要问题及原因：因受疫情影响，部分项目开展受阻，开展力度小于预期。下一步改进措施：通过加强项目细化管理，提高资金使用效率。</w:t>
      </w:r>
    </w:p>
    <w:p>
      <w:pPr>
        <w:widowControl/>
        <w:spacing w:line="580" w:lineRule="exact"/>
        <w:ind w:firstLine="640" w:firstLineChars="200"/>
        <w:rPr>
          <w:rFonts w:hint="eastAsia" w:ascii="楷体_GB2312" w:eastAsia="楷体_GB2312"/>
          <w:bCs/>
          <w:kern w:val="0"/>
          <w:szCs w:val="32"/>
        </w:rPr>
      </w:pPr>
      <w:r>
        <w:rPr>
          <w:rFonts w:hint="eastAsia" w:ascii="楷体_GB2312" w:eastAsia="楷体_GB2312"/>
          <w:bCs/>
          <w:kern w:val="0"/>
          <w:szCs w:val="32"/>
        </w:rPr>
        <w:t>（三）重点绩效评价项目评价结果。</w:t>
      </w:r>
    </w:p>
    <w:p>
      <w:pPr>
        <w:spacing w:line="580" w:lineRule="exact"/>
        <w:ind w:firstLine="640" w:firstLineChars="200"/>
        <w:rPr>
          <w:rFonts w:hint="eastAsia" w:ascii="仿宋_GB2312" w:eastAsia="仿宋_GB2312" w:cs="仿宋_GB2312"/>
          <w:szCs w:val="32"/>
        </w:rPr>
      </w:pPr>
      <w:r>
        <w:rPr>
          <w:rFonts w:hint="eastAsia" w:ascii="仿宋_GB2312" w:eastAsia="仿宋_GB2312" w:cs="仿宋_GB2312"/>
          <w:szCs w:val="32"/>
        </w:rPr>
        <w:t xml:space="preserve">  本单位无重点绩效评价项目。</w:t>
      </w:r>
    </w:p>
    <w:p>
      <w:pPr>
        <w:rPr>
          <w:rFonts w:hint="eastAsia" w:ascii="方正小标宋简体" w:eastAsia="方正小标宋简体"/>
          <w:spacing w:val="60"/>
          <w:sz w:val="42"/>
        </w:rPr>
      </w:pPr>
    </w:p>
    <w:p>
      <w:pPr>
        <w:rPr>
          <w:rFonts w:hint="eastAsia" w:ascii="方正小标宋简体" w:eastAsia="方正小标宋简体"/>
          <w:spacing w:val="60"/>
          <w:sz w:val="42"/>
        </w:rPr>
      </w:pPr>
    </w:p>
    <w:p>
      <w:pPr>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r>
        <w:rPr>
          <w:rFonts w:hint="eastAsia" w:ascii="方正小标宋简体" w:eastAsia="方正小标宋简体"/>
          <w:spacing w:val="60"/>
          <w:sz w:val="42"/>
        </w:rPr>
        <w:t>第四部分</w:t>
      </w:r>
    </w:p>
    <w:p>
      <w:pPr>
        <w:jc w:val="center"/>
        <w:rPr>
          <w:rFonts w:hint="eastAsia" w:ascii="方正小标宋简体" w:eastAsia="方正小标宋简体"/>
          <w:spacing w:val="60"/>
          <w:sz w:val="42"/>
        </w:rPr>
      </w:pPr>
    </w:p>
    <w:p>
      <w:pPr>
        <w:jc w:val="center"/>
        <w:rPr>
          <w:rFonts w:hint="eastAsia" w:ascii="方正小标宋简体" w:eastAsia="方正小标宋简体"/>
          <w:spacing w:val="60"/>
          <w:sz w:val="48"/>
        </w:rPr>
      </w:pPr>
      <w:r>
        <w:rPr>
          <w:rFonts w:hint="eastAsia" w:ascii="方正小标宋简体" w:eastAsia="方正小标宋简体"/>
          <w:spacing w:val="60"/>
          <w:sz w:val="48"/>
        </w:rPr>
        <w:t>名词解释</w:t>
      </w:r>
    </w:p>
    <w:p>
      <w:pPr>
        <w:jc w:val="center"/>
        <w:rPr>
          <w:rFonts w:hint="eastAsia" w:ascii="方正小标宋简体" w:eastAsia="方正小标宋简体"/>
          <w:spacing w:val="60"/>
          <w:sz w:val="48"/>
        </w:rPr>
      </w:pPr>
    </w:p>
    <w:p>
      <w:pPr>
        <w:jc w:val="center"/>
        <w:rPr>
          <w:rFonts w:hint="eastAsia" w:ascii="方正小标宋简体" w:eastAsia="方正小标宋简体"/>
          <w:spacing w:val="60"/>
          <w:sz w:val="48"/>
        </w:rPr>
      </w:pPr>
    </w:p>
    <w:p>
      <w:pPr>
        <w:jc w:val="center"/>
        <w:rPr>
          <w:rFonts w:hint="eastAsia" w:ascii="方正小标宋简体" w:eastAsia="方正小标宋简体"/>
          <w:spacing w:val="60"/>
          <w:sz w:val="48"/>
        </w:rPr>
      </w:pPr>
    </w:p>
    <w:p>
      <w:pPr>
        <w:spacing w:line="580" w:lineRule="exact"/>
        <w:rPr>
          <w:rFonts w:hint="eastAsia" w:ascii="黑体" w:hAnsi="黑体" w:eastAsia="黑体"/>
          <w:color w:val="000000"/>
          <w:szCs w:val="32"/>
        </w:rPr>
      </w:pPr>
    </w:p>
    <w:p>
      <w:pPr>
        <w:spacing w:line="580" w:lineRule="exact"/>
        <w:rPr>
          <w:rFonts w:hint="eastAsia" w:ascii="黑体" w:hAnsi="黑体" w:eastAsia="黑体"/>
          <w:color w:val="000000"/>
          <w:szCs w:val="32"/>
        </w:rPr>
      </w:pPr>
    </w:p>
    <w:p>
      <w:pPr>
        <w:spacing w:line="580" w:lineRule="exact"/>
        <w:rPr>
          <w:rFonts w:hint="eastAsia" w:ascii="黑体" w:hAnsi="黑体" w:eastAsia="黑体"/>
          <w:color w:val="000000"/>
          <w:szCs w:val="32"/>
        </w:rPr>
      </w:pPr>
    </w:p>
    <w:p>
      <w:pPr>
        <w:spacing w:line="580" w:lineRule="exact"/>
        <w:rPr>
          <w:rFonts w:hint="eastAsia" w:ascii="黑体" w:hAnsi="黑体" w:eastAsia="黑体"/>
          <w:color w:val="000000"/>
          <w:szCs w:val="32"/>
        </w:rPr>
      </w:pPr>
    </w:p>
    <w:p>
      <w:pPr>
        <w:spacing w:line="580" w:lineRule="exact"/>
        <w:rPr>
          <w:rFonts w:hint="eastAsia" w:ascii="黑体" w:hAnsi="黑体" w:eastAsia="黑体"/>
          <w:color w:val="000000"/>
          <w:szCs w:val="32"/>
        </w:rPr>
      </w:pPr>
    </w:p>
    <w:p>
      <w:pPr>
        <w:spacing w:line="580" w:lineRule="exact"/>
        <w:rPr>
          <w:rFonts w:hint="eastAsia" w:ascii="黑体" w:hAnsi="黑体" w:eastAsia="黑体"/>
          <w:color w:val="000000"/>
          <w:szCs w:val="32"/>
        </w:rPr>
      </w:pPr>
    </w:p>
    <w:p>
      <w:pPr>
        <w:spacing w:line="580" w:lineRule="exact"/>
        <w:rPr>
          <w:rFonts w:hint="eastAsia" w:ascii="黑体" w:hAnsi="黑体" w:eastAsia="黑体"/>
          <w:color w:val="000000"/>
          <w:szCs w:val="32"/>
        </w:rPr>
      </w:pPr>
    </w:p>
    <w:p>
      <w:pPr>
        <w:spacing w:line="580" w:lineRule="exact"/>
        <w:rPr>
          <w:rFonts w:hint="eastAsia" w:ascii="黑体" w:hAnsi="黑体" w:eastAsia="黑体"/>
          <w:color w:val="000000"/>
          <w:szCs w:val="32"/>
        </w:rPr>
      </w:pPr>
    </w:p>
    <w:p>
      <w:pPr>
        <w:spacing w:line="580" w:lineRule="exact"/>
        <w:ind w:firstLine="640" w:firstLineChars="200"/>
        <w:rPr>
          <w:rFonts w:hint="eastAsia" w:ascii="仿宋_GB2312" w:eastAsia="仿宋_GB2312"/>
          <w:szCs w:val="32"/>
        </w:rPr>
      </w:pPr>
      <w:r>
        <w:rPr>
          <w:rFonts w:hint="eastAsia" w:ascii="黑体" w:hAnsi="黑体" w:eastAsia="黑体"/>
          <w:color w:val="000000"/>
          <w:szCs w:val="32"/>
        </w:rPr>
        <w:t>一、财政拨款收入：</w:t>
      </w:r>
      <w:r>
        <w:rPr>
          <w:rFonts w:hint="eastAsia" w:ascii="仿宋_GB2312" w:eastAsia="仿宋_GB2312"/>
          <w:szCs w:val="32"/>
        </w:rPr>
        <w:t>指单位本年度从本级财政部门取得的财政拨款，包括一般公共预算财政拨款、政府性基金预算财政拨款和国有资本经营预算财政拨款。</w:t>
      </w:r>
    </w:p>
    <w:p>
      <w:pPr>
        <w:spacing w:line="580" w:lineRule="exact"/>
        <w:ind w:firstLine="640" w:firstLineChars="200"/>
        <w:rPr>
          <w:rFonts w:hint="eastAsia" w:ascii="仿宋_GB2312" w:hAnsi="仿宋" w:eastAsia="仿宋_GB2312"/>
          <w:szCs w:val="32"/>
        </w:rPr>
      </w:pPr>
      <w:r>
        <w:rPr>
          <w:rFonts w:hint="eastAsia" w:ascii="黑体" w:hAnsi="黑体" w:eastAsia="黑体"/>
          <w:szCs w:val="32"/>
        </w:rPr>
        <w:t>二、上级补助收入：</w:t>
      </w:r>
      <w:r>
        <w:rPr>
          <w:rFonts w:hint="eastAsia" w:ascii="仿宋_GB2312" w:hAnsi="仿宋" w:eastAsia="仿宋_GB2312"/>
          <w:szCs w:val="32"/>
        </w:rPr>
        <w:t>指事业单位从主管部门和上级单位取得的非财政补助收入。</w:t>
      </w:r>
    </w:p>
    <w:p>
      <w:pPr>
        <w:spacing w:line="580" w:lineRule="exact"/>
        <w:ind w:firstLine="640" w:firstLineChars="200"/>
        <w:rPr>
          <w:rFonts w:hint="eastAsia" w:ascii="仿宋_GB2312" w:hAnsi="仿宋" w:eastAsia="仿宋_GB2312"/>
          <w:szCs w:val="32"/>
        </w:rPr>
      </w:pPr>
      <w:r>
        <w:rPr>
          <w:rFonts w:hint="eastAsia" w:ascii="黑体" w:hAnsi="黑体" w:eastAsia="黑体"/>
          <w:szCs w:val="32"/>
        </w:rPr>
        <w:t>三、事业收入：</w:t>
      </w:r>
      <w:r>
        <w:rPr>
          <w:rFonts w:hint="eastAsia" w:ascii="仿宋_GB2312" w:hAnsi="仿宋" w:eastAsia="仿宋_GB2312"/>
          <w:szCs w:val="32"/>
        </w:rPr>
        <w:t>指事业单位开展专业业务活动及其辅助活动取得的收入；包括事业单位收到的财政专户实际核拨的教育收费等。</w:t>
      </w:r>
    </w:p>
    <w:p>
      <w:pPr>
        <w:spacing w:line="580" w:lineRule="exact"/>
        <w:ind w:firstLine="640" w:firstLineChars="200"/>
        <w:rPr>
          <w:rFonts w:hint="eastAsia" w:ascii="仿宋_GB2312" w:hAnsi="仿宋" w:eastAsia="仿宋_GB2312"/>
          <w:szCs w:val="32"/>
        </w:rPr>
      </w:pPr>
      <w:r>
        <w:rPr>
          <w:rFonts w:hint="eastAsia" w:ascii="黑体" w:hAnsi="黑体" w:eastAsia="黑体"/>
          <w:szCs w:val="32"/>
        </w:rPr>
        <w:t>四、经营收入：</w:t>
      </w:r>
      <w:r>
        <w:rPr>
          <w:rFonts w:hint="eastAsia" w:ascii="仿宋_GB2312" w:hAnsi="仿宋" w:eastAsia="仿宋_GB2312"/>
          <w:szCs w:val="32"/>
        </w:rPr>
        <w:t>指事业单位在专业业务活动及其辅助活动之外开展非独立核算经营活动取得的收入。</w:t>
      </w:r>
    </w:p>
    <w:p>
      <w:pPr>
        <w:spacing w:line="580" w:lineRule="exact"/>
        <w:ind w:firstLine="640" w:firstLineChars="200"/>
        <w:rPr>
          <w:rFonts w:hint="eastAsia" w:ascii="仿宋_GB2312" w:hAnsi="仿宋" w:eastAsia="仿宋_GB2312"/>
          <w:szCs w:val="32"/>
        </w:rPr>
      </w:pPr>
      <w:r>
        <w:rPr>
          <w:rFonts w:hint="eastAsia" w:ascii="黑体" w:hAnsi="黑体" w:eastAsia="黑体"/>
          <w:szCs w:val="32"/>
        </w:rPr>
        <w:t>五、附属单位上缴收入：</w:t>
      </w:r>
      <w:r>
        <w:rPr>
          <w:rFonts w:hint="eastAsia" w:ascii="仿宋_GB2312" w:hAnsi="仿宋" w:eastAsia="仿宋_GB2312"/>
          <w:szCs w:val="32"/>
        </w:rPr>
        <w:t>指事业单位附属独立核算单位按照有关规定上缴的收入。</w:t>
      </w:r>
    </w:p>
    <w:p>
      <w:pPr>
        <w:spacing w:line="580" w:lineRule="exact"/>
        <w:ind w:firstLine="640" w:firstLineChars="200"/>
        <w:rPr>
          <w:rFonts w:hint="eastAsia" w:ascii="仿宋_GB2312" w:hAnsi="仿宋" w:eastAsia="仿宋_GB2312"/>
          <w:szCs w:val="32"/>
        </w:rPr>
      </w:pPr>
      <w:r>
        <w:rPr>
          <w:rFonts w:hint="eastAsia" w:ascii="黑体" w:hAnsi="黑体" w:eastAsia="黑体"/>
          <w:szCs w:val="32"/>
        </w:rPr>
        <w:t>六、其他收入：</w:t>
      </w:r>
      <w:r>
        <w:rPr>
          <w:rFonts w:hint="eastAsia" w:ascii="仿宋_GB2312" w:hAnsi="仿宋" w:eastAsia="仿宋_GB2312"/>
          <w:szCs w:val="32"/>
        </w:rPr>
        <w:t>指单位取得的除上述“</w:t>
      </w:r>
      <w:r>
        <w:rPr>
          <w:rFonts w:hint="eastAsia" w:ascii="仿宋_GB2312" w:eastAsia="仿宋_GB2312"/>
          <w:szCs w:val="32"/>
        </w:rPr>
        <w:t>财政拨款收入</w:t>
      </w:r>
      <w:r>
        <w:rPr>
          <w:rFonts w:hint="eastAsia" w:ascii="仿宋_GB2312" w:hAnsi="仿宋" w:eastAsia="仿宋_GB2312"/>
          <w:szCs w:val="32"/>
        </w:rPr>
        <w:t>”“上级补助收入”“事业收入”“经营收入”“附属单位上缴收入”等以外的各项收入。</w:t>
      </w:r>
    </w:p>
    <w:p>
      <w:pPr>
        <w:spacing w:line="580" w:lineRule="exact"/>
        <w:ind w:firstLine="640" w:firstLineChars="200"/>
        <w:rPr>
          <w:rFonts w:hint="eastAsia" w:ascii="仿宋_GB2312" w:hAnsi="仿宋" w:eastAsia="仿宋_GB2312"/>
          <w:szCs w:val="32"/>
        </w:rPr>
      </w:pPr>
      <w:r>
        <w:rPr>
          <w:rFonts w:hint="eastAsia" w:ascii="黑体" w:hAnsi="黑体" w:eastAsia="黑体"/>
          <w:szCs w:val="32"/>
        </w:rPr>
        <w:t>七、使用非财政拨款结余：</w:t>
      </w:r>
      <w:r>
        <w:rPr>
          <w:rFonts w:hint="eastAsia" w:ascii="仿宋_GB2312" w:hAnsi="仿宋" w:eastAsia="仿宋_GB2312"/>
          <w:szCs w:val="32"/>
        </w:rPr>
        <w:t>指事业单位按照预算管理要求使用非财政拨款结余弥补收支差额的金额。</w:t>
      </w:r>
    </w:p>
    <w:p>
      <w:pPr>
        <w:spacing w:line="580" w:lineRule="exact"/>
        <w:ind w:firstLine="640" w:firstLineChars="200"/>
        <w:rPr>
          <w:rFonts w:hint="eastAsia" w:ascii="仿宋_GB2312" w:eastAsia="仿宋_GB2312"/>
          <w:szCs w:val="32"/>
        </w:rPr>
      </w:pPr>
      <w:r>
        <w:rPr>
          <w:rFonts w:hint="eastAsia" w:ascii="黑体" w:hAnsi="黑体" w:eastAsia="黑体"/>
          <w:szCs w:val="32"/>
        </w:rPr>
        <w:t>八、年初结转和结余：</w:t>
      </w:r>
      <w:r>
        <w:rPr>
          <w:rFonts w:hint="eastAsia" w:ascii="仿宋_GB2312" w:eastAsia="仿宋_GB2312"/>
          <w:szCs w:val="32"/>
        </w:rPr>
        <w:t>指单位以前年度尚未完成、结转到本年仍按原规定用途继续使用的资金，或项目已完成等产生的结余资金。</w:t>
      </w:r>
    </w:p>
    <w:p>
      <w:pPr>
        <w:spacing w:line="580" w:lineRule="exact"/>
        <w:ind w:firstLine="640" w:firstLineChars="200"/>
        <w:rPr>
          <w:rFonts w:hint="eastAsia" w:ascii="仿宋_GB2312" w:eastAsia="仿宋_GB2312"/>
          <w:szCs w:val="32"/>
        </w:rPr>
      </w:pPr>
      <w:r>
        <w:rPr>
          <w:rFonts w:hint="eastAsia" w:ascii="黑体" w:hAnsi="黑体" w:eastAsia="黑体"/>
          <w:szCs w:val="32"/>
        </w:rPr>
        <w:t>九、结余分配：</w:t>
      </w:r>
      <w:r>
        <w:rPr>
          <w:rFonts w:hint="eastAsia" w:ascii="仿宋_GB2312" w:eastAsia="仿宋_GB2312"/>
          <w:szCs w:val="32"/>
        </w:rPr>
        <w:t>指事业单位缴纳的所得税以及从非财政拨款结余或经营结余中提取的各类结余。</w:t>
      </w:r>
    </w:p>
    <w:p>
      <w:pPr>
        <w:spacing w:line="580" w:lineRule="exact"/>
        <w:ind w:firstLine="640" w:firstLineChars="200"/>
        <w:rPr>
          <w:rFonts w:hint="eastAsia" w:ascii="仿宋_GB2312" w:hAnsi="仿宋" w:eastAsia="仿宋_GB2312"/>
          <w:szCs w:val="32"/>
        </w:rPr>
      </w:pPr>
      <w:r>
        <w:rPr>
          <w:rFonts w:hint="eastAsia" w:ascii="黑体" w:hAnsi="黑体" w:eastAsia="黑体"/>
          <w:szCs w:val="32"/>
        </w:rPr>
        <w:t>十、年末结转和结余：</w:t>
      </w:r>
      <w:r>
        <w:rPr>
          <w:rFonts w:hint="eastAsia" w:ascii="仿宋_GB2312" w:hAnsi="仿宋" w:eastAsia="仿宋_GB2312"/>
          <w:szCs w:val="32"/>
        </w:rPr>
        <w:t>指单位本年度或以前年度预算安排、因客观条件发生变化未全部执行或未执行，结转到以后年度继续使用的资金，或项目已完成等产生的结余资金。</w:t>
      </w:r>
    </w:p>
    <w:p>
      <w:pPr>
        <w:spacing w:line="580" w:lineRule="exact"/>
        <w:ind w:firstLine="640" w:firstLineChars="200"/>
        <w:rPr>
          <w:rFonts w:hint="eastAsia" w:ascii="仿宋_GB2312" w:eastAsia="仿宋_GB2312"/>
          <w:szCs w:val="32"/>
        </w:rPr>
      </w:pPr>
      <w:r>
        <w:rPr>
          <w:rFonts w:hint="eastAsia" w:ascii="黑体" w:hAnsi="黑体" w:eastAsia="黑体"/>
          <w:szCs w:val="32"/>
        </w:rPr>
        <w:t>十一、基本支出：</w:t>
      </w:r>
      <w:r>
        <w:rPr>
          <w:rFonts w:hint="eastAsia" w:ascii="仿宋_GB2312" w:eastAsia="仿宋_GB2312"/>
          <w:szCs w:val="32"/>
        </w:rPr>
        <w:t>指单位为保障机构正常运转、完成日常工作任务而发生的各项支出。</w:t>
      </w:r>
    </w:p>
    <w:p>
      <w:pPr>
        <w:spacing w:line="580" w:lineRule="exact"/>
        <w:ind w:firstLine="640" w:firstLineChars="200"/>
        <w:rPr>
          <w:rFonts w:hint="eastAsia" w:ascii="仿宋_GB2312" w:eastAsia="仿宋_GB2312"/>
          <w:szCs w:val="32"/>
        </w:rPr>
      </w:pPr>
      <w:r>
        <w:rPr>
          <w:rFonts w:hint="eastAsia" w:ascii="黑体" w:hAnsi="黑体" w:eastAsia="黑体"/>
          <w:szCs w:val="32"/>
        </w:rPr>
        <w:t>十二、项目支出：</w:t>
      </w:r>
      <w:r>
        <w:rPr>
          <w:rFonts w:hint="eastAsia" w:ascii="仿宋_GB2312" w:eastAsia="仿宋_GB2312"/>
          <w:szCs w:val="32"/>
        </w:rPr>
        <w:t>指单位为完成特定的行政工作任务或事业发展目标，在基本支出之外发生的各项支出。</w:t>
      </w:r>
    </w:p>
    <w:p>
      <w:pPr>
        <w:spacing w:line="580" w:lineRule="exact"/>
        <w:ind w:firstLine="640" w:firstLineChars="200"/>
        <w:rPr>
          <w:rFonts w:hint="eastAsia" w:ascii="仿宋_GB2312" w:eastAsia="仿宋_GB2312"/>
          <w:szCs w:val="32"/>
        </w:rPr>
      </w:pPr>
      <w:r>
        <w:rPr>
          <w:rFonts w:hint="eastAsia" w:ascii="黑体" w:hAnsi="黑体" w:eastAsia="黑体"/>
          <w:szCs w:val="32"/>
        </w:rPr>
        <w:t>十三、经营支出：</w:t>
      </w:r>
      <w:r>
        <w:rPr>
          <w:rFonts w:hint="eastAsia" w:ascii="仿宋_GB2312" w:eastAsia="仿宋_GB2312"/>
          <w:szCs w:val="32"/>
        </w:rPr>
        <w:t>指事业单位在专业业务活动及其辅助活动之外开展非独立核算经营活动发生的支出。</w:t>
      </w:r>
    </w:p>
    <w:p>
      <w:pPr>
        <w:spacing w:line="580" w:lineRule="exact"/>
        <w:ind w:firstLine="640" w:firstLineChars="200"/>
        <w:rPr>
          <w:rFonts w:hint="eastAsia" w:ascii="仿宋_GB2312" w:eastAsia="仿宋_GB2312"/>
          <w:szCs w:val="32"/>
        </w:rPr>
      </w:pPr>
      <w:r>
        <w:rPr>
          <w:rFonts w:hint="eastAsia" w:ascii="黑体" w:hAnsi="黑体" w:eastAsia="黑体"/>
          <w:szCs w:val="32"/>
        </w:rPr>
        <w:t>十四、“三公”经费：</w:t>
      </w:r>
      <w:r>
        <w:rPr>
          <w:rFonts w:hint="eastAsia" w:ascii="仿宋_GB2312" w:eastAsia="仿宋_GB2312"/>
          <w:szCs w:val="32"/>
        </w:rPr>
        <w:t>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桥过路费、保险费、安全奖励费用等支出；公务接待费反映单位按规定开支的各类公务接待（含外宾接待）支出。</w:t>
      </w:r>
    </w:p>
    <w:p>
      <w:pPr>
        <w:spacing w:line="580" w:lineRule="exact"/>
        <w:ind w:firstLine="640" w:firstLineChars="200"/>
        <w:rPr>
          <w:rFonts w:hint="eastAsia" w:ascii="仿宋_GB2312" w:eastAsia="仿宋_GB2312"/>
          <w:szCs w:val="32"/>
        </w:rPr>
      </w:pPr>
      <w:r>
        <w:rPr>
          <w:rFonts w:hint="eastAsia" w:ascii="黑体" w:hAnsi="黑体" w:eastAsia="黑体"/>
          <w:szCs w:val="32"/>
        </w:rPr>
        <w:t>十五、机关运行经费：</w:t>
      </w:r>
      <w:r>
        <w:rPr>
          <w:rFonts w:hint="eastAsia" w:ascii="仿宋_GB2312" w:eastAsia="仿宋_GB2312"/>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00"/>
        <w:rPr>
          <w:rFonts w:hint="eastAsia" w:ascii="仿宋_GB2312" w:eastAsia="仿宋_GB2312"/>
          <w:szCs w:val="32"/>
        </w:rPr>
      </w:pPr>
      <w:r>
        <w:rPr>
          <w:rFonts w:hint="eastAsia" w:ascii="黑体" w:hAnsi="黑体" w:eastAsia="黑体"/>
          <w:szCs w:val="32"/>
        </w:rPr>
        <w:t>十六、社会保障和就业支出（类）行政事业单位养老支出（款）机关事业单位基本养老保险缴费（项）：</w:t>
      </w:r>
      <w:r>
        <w:rPr>
          <w:rFonts w:hint="eastAsia" w:ascii="仿宋_GB2312" w:eastAsia="仿宋_GB2312"/>
          <w:szCs w:val="32"/>
        </w:rPr>
        <w:t>反映机关事业单位实施养老保险制度由单位缴纳的基本养老保险费支出。</w:t>
      </w:r>
    </w:p>
    <w:p>
      <w:pPr>
        <w:spacing w:line="580" w:lineRule="exact"/>
        <w:ind w:firstLine="640" w:firstLineChars="200"/>
        <w:rPr>
          <w:rFonts w:hint="eastAsia" w:ascii="仿宋_GB2312" w:eastAsia="仿宋_GB2312"/>
          <w:szCs w:val="32"/>
        </w:rPr>
      </w:pPr>
      <w:r>
        <w:rPr>
          <w:rFonts w:hint="eastAsia" w:ascii="黑体" w:hAnsi="黑体" w:eastAsia="黑体" w:cs="黑体"/>
          <w:szCs w:val="32"/>
        </w:rPr>
        <w:t>十七、</w:t>
      </w:r>
      <w:r>
        <w:rPr>
          <w:rFonts w:hint="eastAsia" w:ascii="黑体" w:hAnsi="黑体" w:eastAsia="黑体"/>
          <w:szCs w:val="32"/>
        </w:rPr>
        <w:t>社会保障和就业支出（类）行政事业单位养老支出（款）</w:t>
      </w:r>
      <w:r>
        <w:rPr>
          <w:rFonts w:hint="eastAsia" w:ascii="黑体" w:hAnsi="黑体" w:eastAsia="黑体" w:cs="黑体"/>
          <w:szCs w:val="32"/>
        </w:rPr>
        <w:t>机关事业单位职业年金缴费支出（项）</w:t>
      </w:r>
      <w:r>
        <w:rPr>
          <w:rFonts w:hint="eastAsia" w:ascii="仿宋_GB2312" w:eastAsia="仿宋_GB2312"/>
          <w:szCs w:val="32"/>
        </w:rPr>
        <w:t>：反映机关事业单位实施养老保险制度由单位实际缴纳的职业年金支出。</w:t>
      </w:r>
    </w:p>
    <w:p>
      <w:pPr>
        <w:spacing w:line="580" w:lineRule="exact"/>
        <w:ind w:firstLine="640" w:firstLineChars="200"/>
        <w:rPr>
          <w:rFonts w:hint="eastAsia" w:ascii="仿宋_GB2312" w:eastAsia="仿宋_GB2312"/>
          <w:szCs w:val="32"/>
        </w:rPr>
      </w:pPr>
      <w:r>
        <w:rPr>
          <w:rFonts w:hint="eastAsia" w:ascii="黑体" w:hAnsi="黑体" w:eastAsia="黑体" w:cs="黑体"/>
          <w:szCs w:val="32"/>
        </w:rPr>
        <w:t>十八、</w:t>
      </w:r>
      <w:r>
        <w:rPr>
          <w:rFonts w:hint="eastAsia" w:ascii="黑体" w:hAnsi="黑体" w:eastAsia="黑体"/>
          <w:szCs w:val="32"/>
        </w:rPr>
        <w:t>社会保障和就业支出（类）社会福利（款）死亡抚恤</w:t>
      </w:r>
      <w:r>
        <w:rPr>
          <w:rFonts w:hint="eastAsia" w:ascii="黑体" w:hAnsi="黑体" w:eastAsia="黑体" w:cs="黑体"/>
          <w:szCs w:val="32"/>
        </w:rPr>
        <w:t>（项）：</w:t>
      </w:r>
      <w:r>
        <w:rPr>
          <w:rFonts w:hint="eastAsia" w:ascii="仿宋_GB2312" w:eastAsia="仿宋_GB2312"/>
          <w:szCs w:val="32"/>
        </w:rPr>
        <w:t>反映死亡退休人员一次性抚恤方面的支出。</w:t>
      </w:r>
    </w:p>
    <w:p>
      <w:pPr>
        <w:spacing w:line="580" w:lineRule="exact"/>
        <w:ind w:firstLine="640" w:firstLineChars="200"/>
        <w:rPr>
          <w:rFonts w:hint="eastAsia" w:ascii="仿宋_GB2312" w:eastAsia="仿宋_GB2312"/>
          <w:szCs w:val="32"/>
        </w:rPr>
      </w:pPr>
      <w:r>
        <w:rPr>
          <w:rFonts w:hint="eastAsia" w:ascii="黑体" w:hAnsi="黑体" w:eastAsia="黑体"/>
          <w:szCs w:val="32"/>
        </w:rPr>
        <w:t>十九、社会保障和就业支出（类）社会福利（款）</w:t>
      </w:r>
      <w:r>
        <w:rPr>
          <w:rFonts w:hint="eastAsia" w:ascii="黑体" w:hAnsi="黑体" w:eastAsia="黑体" w:cs="黑体"/>
          <w:szCs w:val="32"/>
        </w:rPr>
        <w:t>儿童福利（项）：</w:t>
      </w:r>
      <w:r>
        <w:rPr>
          <w:rFonts w:hint="eastAsia" w:ascii="仿宋_GB2312" w:eastAsia="仿宋_GB2312"/>
          <w:szCs w:val="32"/>
        </w:rPr>
        <w:t>反映对儿童提供福利服务方面的支出。</w:t>
      </w:r>
    </w:p>
    <w:p>
      <w:pPr>
        <w:spacing w:line="580" w:lineRule="exact"/>
        <w:ind w:firstLine="640" w:firstLineChars="200"/>
        <w:rPr>
          <w:rFonts w:hint="eastAsia" w:ascii="仿宋_GB2312" w:eastAsia="仿宋_GB2312"/>
          <w:szCs w:val="32"/>
        </w:rPr>
      </w:pPr>
      <w:r>
        <w:rPr>
          <w:rFonts w:hint="eastAsia" w:ascii="黑体" w:hAnsi="黑体" w:eastAsia="黑体" w:cs="黑体"/>
          <w:szCs w:val="32"/>
        </w:rPr>
        <w:t>二十、</w:t>
      </w:r>
      <w:r>
        <w:rPr>
          <w:rFonts w:hint="eastAsia" w:ascii="黑体" w:hAnsi="黑体" w:eastAsia="黑体"/>
          <w:szCs w:val="32"/>
        </w:rPr>
        <w:t>社会保障和就业支出（类）社会福利（款）</w:t>
      </w:r>
      <w:r>
        <w:rPr>
          <w:rFonts w:hint="eastAsia" w:ascii="黑体" w:hAnsi="黑体" w:eastAsia="黑体" w:cs="黑体"/>
          <w:szCs w:val="32"/>
        </w:rPr>
        <w:t>社会福利事业单位（项）：</w:t>
      </w:r>
      <w:r>
        <w:rPr>
          <w:rFonts w:hint="eastAsia" w:ascii="仿宋_GB2312" w:eastAsia="仿宋_GB2312"/>
          <w:szCs w:val="32"/>
        </w:rPr>
        <w:t>反映民政部门举办的社会福利事业单位的支出，以及对集体社会福利事业单位的补助费。</w:t>
      </w:r>
    </w:p>
    <w:p>
      <w:pPr>
        <w:spacing w:line="580" w:lineRule="exact"/>
        <w:ind w:firstLine="640" w:firstLineChars="200"/>
        <w:rPr>
          <w:rFonts w:hint="eastAsia" w:ascii="仿宋_GB2312" w:eastAsia="仿宋_GB2312"/>
          <w:szCs w:val="32"/>
        </w:rPr>
      </w:pPr>
      <w:r>
        <w:rPr>
          <w:rFonts w:hint="eastAsia" w:ascii="黑体" w:hAnsi="黑体" w:eastAsia="黑体" w:cs="黑体"/>
          <w:szCs w:val="32"/>
        </w:rPr>
        <w:t>二十一、</w:t>
      </w:r>
      <w:r>
        <w:rPr>
          <w:rFonts w:hint="eastAsia" w:ascii="黑体" w:hAnsi="黑体" w:eastAsia="黑体"/>
          <w:szCs w:val="32"/>
        </w:rPr>
        <w:t>社会保障和就业支出（类）其他社会保障和就业支出（款）其他社会保障和就业支出（项）：</w:t>
      </w:r>
      <w:r>
        <w:rPr>
          <w:rFonts w:hint="eastAsia" w:ascii="仿宋_GB2312" w:eastAsia="仿宋_GB2312"/>
          <w:szCs w:val="32"/>
        </w:rPr>
        <w:t>反映除上述项目以外其他用于社会保障和就业方面的支出。</w:t>
      </w:r>
    </w:p>
    <w:p>
      <w:pPr>
        <w:spacing w:line="580" w:lineRule="exact"/>
        <w:ind w:firstLine="600"/>
        <w:rPr>
          <w:rFonts w:hint="eastAsia" w:ascii="仿宋_GB2312" w:eastAsia="仿宋_GB2312"/>
          <w:szCs w:val="32"/>
        </w:rPr>
      </w:pPr>
      <w:r>
        <w:rPr>
          <w:rFonts w:hint="eastAsia" w:ascii="黑体" w:hAnsi="黑体" w:eastAsia="黑体"/>
          <w:szCs w:val="32"/>
        </w:rPr>
        <w:t>二十二</w:t>
      </w:r>
      <w:r>
        <w:rPr>
          <w:rFonts w:hint="eastAsia" w:ascii="仿宋" w:hAnsi="仿宋" w:eastAsia="仿宋"/>
          <w:szCs w:val="32"/>
        </w:rPr>
        <w:t>、</w:t>
      </w:r>
      <w:r>
        <w:rPr>
          <w:rFonts w:hint="eastAsia" w:ascii="黑体" w:hAnsi="黑体" w:eastAsia="黑体"/>
          <w:szCs w:val="32"/>
        </w:rPr>
        <w:t>卫生健康支出（类）行政事业单位医疗（款）事业单位医疗（项）：</w:t>
      </w:r>
      <w:r>
        <w:rPr>
          <w:rFonts w:hint="eastAsia" w:ascii="仿宋_GB2312" w:eastAsia="仿宋_GB2312"/>
          <w:szCs w:val="32"/>
        </w:rPr>
        <w:t>反映财政部门安排的事业单位基本医疗保险缴费经费，未参加医疗保险的事业单位的公费医疗经费，按国家规定享受离休人员待遇的医疗经费。</w:t>
      </w:r>
    </w:p>
    <w:p>
      <w:pPr>
        <w:spacing w:line="580" w:lineRule="exact"/>
        <w:ind w:firstLine="600"/>
        <w:rPr>
          <w:rFonts w:hint="eastAsia" w:ascii="仿宋_GB2312" w:eastAsia="仿宋_GB2312"/>
          <w:szCs w:val="32"/>
        </w:rPr>
      </w:pPr>
      <w:r>
        <w:rPr>
          <w:rFonts w:hint="eastAsia" w:ascii="黑体" w:hAnsi="黑体" w:eastAsia="黑体"/>
          <w:szCs w:val="32"/>
        </w:rPr>
        <w:t>二十三、卫生健康支出（类）行政事业单位医疗（款）公务员医疗补助（项）：</w:t>
      </w:r>
      <w:r>
        <w:rPr>
          <w:rFonts w:hint="eastAsia" w:ascii="仿宋_GB2312" w:eastAsia="仿宋_GB2312"/>
          <w:szCs w:val="32"/>
        </w:rPr>
        <w:t>反映财政部门安排的公务员医疗医疗补助经费。</w:t>
      </w:r>
    </w:p>
    <w:p>
      <w:pPr>
        <w:ind w:firstLine="640" w:firstLineChars="200"/>
        <w:rPr>
          <w:rFonts w:hint="eastAsia" w:ascii="仿宋_GB2312" w:eastAsia="仿宋_GB2312"/>
          <w:szCs w:val="32"/>
        </w:rPr>
      </w:pPr>
      <w:r>
        <w:rPr>
          <w:rFonts w:hint="eastAsia" w:ascii="黑体" w:hAnsi="黑体" w:eastAsia="黑体"/>
          <w:szCs w:val="32"/>
        </w:rPr>
        <w:t>二十四、住房保障支出（类）住房改革支出（款）住房公积金（项）：</w:t>
      </w:r>
      <w:r>
        <w:rPr>
          <w:rFonts w:hint="eastAsia" w:ascii="仿宋_GB2312" w:eastAsia="仿宋_GB2312"/>
          <w:szCs w:val="32"/>
        </w:rPr>
        <w:t>反映用于职工住房公积金支出。</w:t>
      </w:r>
    </w:p>
    <w:p>
      <w:pPr>
        <w:ind w:firstLine="640" w:firstLineChars="200"/>
        <w:rPr>
          <w:rFonts w:hint="eastAsia" w:ascii="仿宋_GB2312" w:eastAsia="仿宋_GB2312"/>
          <w:szCs w:val="32"/>
        </w:rPr>
      </w:pPr>
      <w:r>
        <w:rPr>
          <w:rFonts w:hint="eastAsia" w:ascii="黑体" w:hAnsi="黑体" w:eastAsia="黑体"/>
          <w:szCs w:val="32"/>
        </w:rPr>
        <w:t>二十五、其他支出（类）彩票公益金安排的支出（款）用于社会福利的彩票公益金支出（项）：</w:t>
      </w:r>
      <w:r>
        <w:rPr>
          <w:rFonts w:hint="eastAsia" w:ascii="仿宋_GB2312" w:eastAsia="仿宋_GB2312"/>
          <w:szCs w:val="32"/>
        </w:rPr>
        <w:t>反映用于社会福利的彩票公益金支出。</w:t>
      </w:r>
    </w:p>
    <w:p>
      <w:pPr>
        <w:spacing w:line="580" w:lineRule="exact"/>
        <w:ind w:firstLine="540" w:firstLineChars="100"/>
        <w:rPr>
          <w:rFonts w:hint="eastAsia"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spacing w:line="580" w:lineRule="exact"/>
        <w:ind w:firstLine="540" w:firstLineChars="100"/>
        <w:rPr>
          <w:rFonts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p>
    <w:p>
      <w:pPr>
        <w:ind w:firstLine="540" w:firstLineChars="100"/>
        <w:rPr>
          <w:rFonts w:hint="eastAsia" w:ascii="方正小标宋简体" w:eastAsia="方正小标宋简体"/>
          <w:spacing w:val="60"/>
          <w:sz w:val="42"/>
        </w:rPr>
      </w:pPr>
      <w:r>
        <w:rPr>
          <w:rFonts w:hint="eastAsia" w:ascii="方正小标宋简体" w:eastAsia="方正小标宋简体"/>
          <w:spacing w:val="60"/>
          <w:sz w:val="42"/>
        </w:rPr>
        <w:t>第五部分</w:t>
      </w:r>
    </w:p>
    <w:p>
      <w:pPr>
        <w:jc w:val="center"/>
        <w:rPr>
          <w:rFonts w:hint="eastAsia" w:ascii="方正小标宋简体" w:eastAsia="方正小标宋简体"/>
          <w:spacing w:val="60"/>
          <w:sz w:val="42"/>
        </w:rPr>
      </w:pPr>
    </w:p>
    <w:p>
      <w:pPr>
        <w:jc w:val="center"/>
        <w:rPr>
          <w:rFonts w:hint="eastAsia" w:ascii="方正小标宋简体" w:eastAsia="方正小标宋简体"/>
          <w:spacing w:val="60"/>
          <w:sz w:val="48"/>
        </w:rPr>
      </w:pPr>
      <w:r>
        <w:rPr>
          <w:rFonts w:hint="eastAsia" w:ascii="方正小标宋简体" w:eastAsia="方正小标宋简体"/>
          <w:spacing w:val="60"/>
          <w:sz w:val="48"/>
        </w:rPr>
        <w:t xml:space="preserve">  附  件</w:t>
      </w:r>
    </w:p>
    <w:p>
      <w:pPr>
        <w:tabs>
          <w:tab w:val="left" w:pos="5891"/>
        </w:tabs>
        <w:spacing w:line="580" w:lineRule="exact"/>
        <w:rPr>
          <w:rFonts w:hint="eastAsia"/>
          <w:szCs w:val="32"/>
        </w:rPr>
        <w:sectPr>
          <w:pgSz w:w="11906" w:h="16838"/>
          <w:pgMar w:top="2041" w:right="1701" w:bottom="2041" w:left="1701" w:header="851" w:footer="992" w:gutter="0"/>
          <w:pgNumType w:fmt="numberInDash"/>
          <w:cols w:space="720" w:num="1"/>
          <w:docGrid w:type="lines" w:linePitch="312" w:charSpace="0"/>
        </w:sectPr>
      </w:pPr>
    </w:p>
    <w:p>
      <w:pPr>
        <w:spacing w:after="159" w:afterLines="5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2021年度项目支出绩效自评情况汇总表</w:t>
      </w:r>
    </w:p>
    <w:p>
      <w:pPr>
        <w:spacing w:before="319" w:beforeLines="100" w:line="400" w:lineRule="exact"/>
        <w:ind w:firstLine="140" w:firstLineChars="50"/>
        <w:jc w:val="left"/>
        <w:rPr>
          <w:rFonts w:hint="eastAsia" w:ascii="楷体_GB2312" w:eastAsia="楷体_GB2312"/>
          <w:sz w:val="28"/>
          <w:szCs w:val="28"/>
          <w:lang w:bidi="ar"/>
        </w:rPr>
      </w:pPr>
      <w:r>
        <w:rPr>
          <w:rFonts w:hint="eastAsia" w:ascii="楷体_GB2312" w:eastAsia="楷体_GB2312"/>
          <w:sz w:val="28"/>
          <w:szCs w:val="28"/>
          <w:lang w:bidi="ar"/>
        </w:rPr>
        <w:t>单位：泰安市社会福利院（泰安市儿童福利院）</w:t>
      </w:r>
    </w:p>
    <w:tbl>
      <w:tblPr>
        <w:tblStyle w:val="10"/>
        <w:tblW w:w="0" w:type="auto"/>
        <w:jc w:val="center"/>
        <w:tblLayout w:type="fixed"/>
        <w:tblCellMar>
          <w:top w:w="15" w:type="dxa"/>
          <w:left w:w="15" w:type="dxa"/>
          <w:bottom w:w="15" w:type="dxa"/>
          <w:right w:w="15" w:type="dxa"/>
        </w:tblCellMar>
      </w:tblPr>
      <w:tblGrid>
        <w:gridCol w:w="1702"/>
        <w:gridCol w:w="6166"/>
        <w:gridCol w:w="2644"/>
        <w:gridCol w:w="2302"/>
      </w:tblGrid>
      <w:tr>
        <w:tblPrEx>
          <w:tblCellMar>
            <w:top w:w="15" w:type="dxa"/>
            <w:left w:w="15" w:type="dxa"/>
            <w:bottom w:w="15" w:type="dxa"/>
            <w:right w:w="15" w:type="dxa"/>
          </w:tblCellMar>
        </w:tblPrEx>
        <w:trPr>
          <w:trHeight w:val="570"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序号</w:t>
            </w:r>
          </w:p>
        </w:tc>
        <w:tc>
          <w:tcPr>
            <w:tcW w:w="61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项目名称</w:t>
            </w:r>
          </w:p>
        </w:tc>
        <w:tc>
          <w:tcPr>
            <w:tcW w:w="2644"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自评得分</w:t>
            </w:r>
          </w:p>
        </w:tc>
        <w:tc>
          <w:tcPr>
            <w:tcW w:w="2302"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lang w:bidi="ar"/>
              </w:rPr>
              <w:t>自评等级</w:t>
            </w:r>
          </w:p>
        </w:tc>
      </w:tr>
      <w:tr>
        <w:tblPrEx>
          <w:tblCellMar>
            <w:top w:w="15" w:type="dxa"/>
            <w:left w:w="15" w:type="dxa"/>
            <w:bottom w:w="15" w:type="dxa"/>
            <w:right w:w="15" w:type="dxa"/>
          </w:tblCellMar>
        </w:tblPrEx>
        <w:trPr>
          <w:trHeight w:val="450"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6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福利院“三无人员”经费</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100</w:t>
            </w:r>
          </w:p>
        </w:tc>
        <w:tc>
          <w:tcPr>
            <w:tcW w:w="2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优</w:t>
            </w:r>
          </w:p>
        </w:tc>
      </w:tr>
      <w:tr>
        <w:tblPrEx>
          <w:tblCellMar>
            <w:top w:w="15" w:type="dxa"/>
            <w:left w:w="15" w:type="dxa"/>
            <w:bottom w:w="15" w:type="dxa"/>
            <w:right w:w="15" w:type="dxa"/>
          </w:tblCellMar>
        </w:tblPrEx>
        <w:trPr>
          <w:trHeight w:val="450"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p>
        </w:tc>
        <w:tc>
          <w:tcPr>
            <w:tcW w:w="6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福利院运转经费</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100</w:t>
            </w:r>
          </w:p>
        </w:tc>
        <w:tc>
          <w:tcPr>
            <w:tcW w:w="2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优</w:t>
            </w:r>
          </w:p>
        </w:tc>
      </w:tr>
      <w:tr>
        <w:tblPrEx>
          <w:tblCellMar>
            <w:top w:w="15" w:type="dxa"/>
            <w:left w:w="15" w:type="dxa"/>
            <w:bottom w:w="15" w:type="dxa"/>
            <w:right w:w="15" w:type="dxa"/>
          </w:tblCellMar>
        </w:tblPrEx>
        <w:trPr>
          <w:trHeight w:val="450"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w:t>
            </w:r>
          </w:p>
        </w:tc>
        <w:tc>
          <w:tcPr>
            <w:tcW w:w="61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公益岗位护理人员经费</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99.38</w:t>
            </w:r>
          </w:p>
        </w:tc>
        <w:tc>
          <w:tcPr>
            <w:tcW w:w="2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优</w:t>
            </w:r>
          </w:p>
        </w:tc>
      </w:tr>
      <w:tr>
        <w:tblPrEx>
          <w:tblCellMar>
            <w:top w:w="15" w:type="dxa"/>
            <w:left w:w="15" w:type="dxa"/>
            <w:bottom w:w="15" w:type="dxa"/>
            <w:right w:w="15" w:type="dxa"/>
          </w:tblCellMar>
        </w:tblPrEx>
        <w:trPr>
          <w:trHeight w:val="450"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w:t>
            </w:r>
          </w:p>
        </w:tc>
        <w:tc>
          <w:tcPr>
            <w:tcW w:w="616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社会福利院“三无人员居养院（康寿楼）”改造提升项目</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99.62</w:t>
            </w:r>
          </w:p>
        </w:tc>
        <w:tc>
          <w:tcPr>
            <w:tcW w:w="2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优</w:t>
            </w:r>
          </w:p>
        </w:tc>
      </w:tr>
      <w:tr>
        <w:tblPrEx>
          <w:tblCellMar>
            <w:top w:w="15" w:type="dxa"/>
            <w:left w:w="15" w:type="dxa"/>
            <w:bottom w:w="15" w:type="dxa"/>
            <w:right w:w="15" w:type="dxa"/>
          </w:tblCellMar>
        </w:tblPrEx>
        <w:trPr>
          <w:trHeight w:val="450"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5</w:t>
            </w:r>
          </w:p>
        </w:tc>
        <w:tc>
          <w:tcPr>
            <w:tcW w:w="616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社会福利院南楼维修改造</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99.65</w:t>
            </w:r>
          </w:p>
        </w:tc>
        <w:tc>
          <w:tcPr>
            <w:tcW w:w="2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优</w:t>
            </w:r>
          </w:p>
        </w:tc>
      </w:tr>
      <w:tr>
        <w:tblPrEx>
          <w:tblCellMar>
            <w:top w:w="15" w:type="dxa"/>
            <w:left w:w="15" w:type="dxa"/>
            <w:bottom w:w="15" w:type="dxa"/>
            <w:right w:w="15" w:type="dxa"/>
          </w:tblCellMar>
        </w:tblPrEx>
        <w:trPr>
          <w:trHeight w:val="450"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6</w:t>
            </w:r>
          </w:p>
        </w:tc>
        <w:tc>
          <w:tcPr>
            <w:tcW w:w="616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儿童福利院综合楼圆球金属幕墙维修项目</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100</w:t>
            </w:r>
          </w:p>
        </w:tc>
        <w:tc>
          <w:tcPr>
            <w:tcW w:w="23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color w:val="000000"/>
                <w:sz w:val="22"/>
                <w:szCs w:val="22"/>
              </w:rPr>
            </w:pPr>
            <w:r>
              <w:rPr>
                <w:rFonts w:hint="eastAsia" w:ascii="仿宋_GB2312" w:hAnsi="宋体" w:eastAsia="仿宋_GB2312" w:cs="仿宋_GB2312"/>
                <w:color w:val="000000"/>
                <w:sz w:val="22"/>
                <w:szCs w:val="22"/>
              </w:rPr>
              <w:t>优</w:t>
            </w:r>
          </w:p>
        </w:tc>
      </w:tr>
      <w:tr>
        <w:tblPrEx>
          <w:tblCellMar>
            <w:top w:w="15" w:type="dxa"/>
            <w:left w:w="15" w:type="dxa"/>
            <w:bottom w:w="15" w:type="dxa"/>
            <w:right w:w="15" w:type="dxa"/>
          </w:tblCellMar>
        </w:tblPrEx>
        <w:trPr>
          <w:trHeight w:val="450"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7</w:t>
            </w:r>
          </w:p>
        </w:tc>
        <w:tc>
          <w:tcPr>
            <w:tcW w:w="616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孤残儿童康复项目</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99.21</w:t>
            </w:r>
          </w:p>
        </w:tc>
        <w:tc>
          <w:tcPr>
            <w:tcW w:w="230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2"/>
                <w:szCs w:val="22"/>
              </w:rPr>
            </w:pPr>
            <w:r>
              <w:rPr>
                <w:rFonts w:hint="eastAsia" w:ascii="仿宋_GB2312" w:hAnsi="宋体" w:eastAsia="仿宋_GB2312" w:cs="仿宋_GB2312"/>
                <w:color w:val="000000"/>
                <w:sz w:val="22"/>
                <w:szCs w:val="22"/>
              </w:rPr>
              <w:t>优</w:t>
            </w:r>
          </w:p>
        </w:tc>
      </w:tr>
      <w:tr>
        <w:tblPrEx>
          <w:tblCellMar>
            <w:top w:w="15" w:type="dxa"/>
            <w:left w:w="15" w:type="dxa"/>
            <w:bottom w:w="15" w:type="dxa"/>
            <w:right w:w="15" w:type="dxa"/>
          </w:tblCellMar>
        </w:tblPrEx>
        <w:trPr>
          <w:trHeight w:val="450"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8</w:t>
            </w:r>
          </w:p>
        </w:tc>
        <w:tc>
          <w:tcPr>
            <w:tcW w:w="616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原民政社区人员经费</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100</w:t>
            </w:r>
          </w:p>
        </w:tc>
        <w:tc>
          <w:tcPr>
            <w:tcW w:w="230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2"/>
                <w:szCs w:val="22"/>
              </w:rPr>
            </w:pPr>
            <w:r>
              <w:rPr>
                <w:rFonts w:hint="eastAsia" w:ascii="仿宋_GB2312" w:hAnsi="宋体" w:eastAsia="仿宋_GB2312" w:cs="仿宋_GB2312"/>
                <w:color w:val="000000"/>
                <w:sz w:val="22"/>
                <w:szCs w:val="22"/>
              </w:rPr>
              <w:t>优</w:t>
            </w:r>
          </w:p>
        </w:tc>
      </w:tr>
      <w:tr>
        <w:tblPrEx>
          <w:tblCellMar>
            <w:top w:w="15" w:type="dxa"/>
            <w:left w:w="15" w:type="dxa"/>
            <w:bottom w:w="15" w:type="dxa"/>
            <w:right w:w="15" w:type="dxa"/>
          </w:tblCellMar>
        </w:tblPrEx>
        <w:trPr>
          <w:trHeight w:val="450"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9</w:t>
            </w:r>
          </w:p>
        </w:tc>
        <w:tc>
          <w:tcPr>
            <w:tcW w:w="616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福利院固定资产购置项目</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100</w:t>
            </w:r>
          </w:p>
        </w:tc>
        <w:tc>
          <w:tcPr>
            <w:tcW w:w="230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2"/>
                <w:szCs w:val="22"/>
              </w:rPr>
            </w:pPr>
            <w:r>
              <w:rPr>
                <w:rFonts w:hint="eastAsia" w:ascii="仿宋_GB2312" w:hAnsi="宋体" w:eastAsia="仿宋_GB2312" w:cs="仿宋_GB2312"/>
                <w:color w:val="000000"/>
                <w:sz w:val="22"/>
                <w:szCs w:val="22"/>
              </w:rPr>
              <w:t>优</w:t>
            </w:r>
          </w:p>
        </w:tc>
      </w:tr>
      <w:tr>
        <w:tblPrEx>
          <w:tblCellMar>
            <w:top w:w="15" w:type="dxa"/>
            <w:left w:w="15" w:type="dxa"/>
            <w:bottom w:w="15" w:type="dxa"/>
            <w:right w:w="15" w:type="dxa"/>
          </w:tblCellMar>
        </w:tblPrEx>
        <w:trPr>
          <w:trHeight w:val="450"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10</w:t>
            </w:r>
          </w:p>
        </w:tc>
        <w:tc>
          <w:tcPr>
            <w:tcW w:w="616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福利院零星维修项目</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100</w:t>
            </w:r>
          </w:p>
        </w:tc>
        <w:tc>
          <w:tcPr>
            <w:tcW w:w="230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2"/>
                <w:szCs w:val="22"/>
              </w:rPr>
            </w:pPr>
            <w:r>
              <w:rPr>
                <w:rFonts w:hint="eastAsia" w:ascii="仿宋_GB2312" w:hAnsi="宋体" w:eastAsia="仿宋_GB2312" w:cs="仿宋_GB2312"/>
                <w:color w:val="000000"/>
                <w:sz w:val="22"/>
                <w:szCs w:val="22"/>
              </w:rPr>
              <w:t>优</w:t>
            </w:r>
          </w:p>
        </w:tc>
      </w:tr>
      <w:tr>
        <w:tblPrEx>
          <w:tblCellMar>
            <w:top w:w="15" w:type="dxa"/>
            <w:left w:w="15" w:type="dxa"/>
            <w:bottom w:w="15" w:type="dxa"/>
            <w:right w:w="15" w:type="dxa"/>
          </w:tblCellMar>
        </w:tblPrEx>
        <w:trPr>
          <w:trHeight w:val="450"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11</w:t>
            </w:r>
          </w:p>
        </w:tc>
        <w:tc>
          <w:tcPr>
            <w:tcW w:w="616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宋体" w:eastAsia="仿宋_GB2312" w:cs="仿宋_GB2312"/>
                <w:color w:val="000000"/>
                <w:kern w:val="0"/>
                <w:sz w:val="22"/>
                <w:szCs w:val="22"/>
                <w:lang w:bidi="ar"/>
              </w:rPr>
            </w:pPr>
            <w:r>
              <w:rPr>
                <w:rFonts w:hint="eastAsia" w:ascii="仿宋_GB2312" w:hAnsi="宋体" w:eastAsia="仿宋_GB2312" w:cs="仿宋_GB2312"/>
                <w:color w:val="000000"/>
                <w:kern w:val="0"/>
                <w:sz w:val="22"/>
                <w:szCs w:val="22"/>
                <w:lang w:bidi="ar"/>
              </w:rPr>
              <w:t>福利院政府采购合余额和质保金</w:t>
            </w:r>
          </w:p>
        </w:tc>
        <w:tc>
          <w:tcPr>
            <w:tcW w:w="26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91.67</w:t>
            </w:r>
          </w:p>
        </w:tc>
        <w:tc>
          <w:tcPr>
            <w:tcW w:w="2302"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22"/>
                <w:szCs w:val="22"/>
              </w:rPr>
            </w:pPr>
            <w:r>
              <w:rPr>
                <w:rFonts w:hint="eastAsia" w:ascii="仿宋_GB2312" w:hAnsi="宋体" w:eastAsia="仿宋_GB2312" w:cs="仿宋_GB2312"/>
                <w:color w:val="000000"/>
                <w:sz w:val="22"/>
                <w:szCs w:val="22"/>
              </w:rPr>
              <w:t>优</w:t>
            </w:r>
          </w:p>
        </w:tc>
      </w:tr>
    </w:tbl>
    <w:p>
      <w:pPr>
        <w:spacing w:line="400" w:lineRule="exact"/>
        <w:ind w:firstLine="110" w:firstLineChars="50"/>
        <w:jc w:val="left"/>
        <w:rPr>
          <w:rFonts w:hint="eastAsia" w:ascii="仿宋_GB2312" w:hAnsi="宋体" w:eastAsia="仿宋_GB2312"/>
          <w:sz w:val="22"/>
          <w:szCs w:val="22"/>
          <w:lang w:val="zh-CN"/>
        </w:rPr>
      </w:pPr>
    </w:p>
    <w:p>
      <w:pPr>
        <w:spacing w:line="400" w:lineRule="exact"/>
        <w:ind w:firstLine="815" w:firstLineChars="290"/>
        <w:jc w:val="left"/>
        <w:rPr>
          <w:rFonts w:hint="eastAsia" w:ascii="仿宋_GB2312" w:eastAsia="仿宋_GB2312"/>
          <w:b/>
          <w:sz w:val="28"/>
          <w:szCs w:val="28"/>
        </w:rPr>
        <w:sectPr>
          <w:pgSz w:w="16838" w:h="11906" w:orient="landscape"/>
          <w:pgMar w:top="1531" w:right="2098" w:bottom="1417" w:left="1871" w:header="851" w:footer="992" w:gutter="0"/>
          <w:pgNumType w:fmt="numberInDash"/>
          <w:cols w:space="720" w:num="1"/>
          <w:docGrid w:type="lines" w:linePitch="319" w:charSpace="0"/>
        </w:sectPr>
      </w:pPr>
    </w:p>
    <w:tbl>
      <w:tblPr>
        <w:tblStyle w:val="10"/>
        <w:tblW w:w="10525" w:type="dxa"/>
        <w:jc w:val="center"/>
        <w:tblLayout w:type="fixed"/>
        <w:tblCellMar>
          <w:top w:w="15" w:type="dxa"/>
          <w:left w:w="15" w:type="dxa"/>
          <w:bottom w:w="15" w:type="dxa"/>
          <w:right w:w="15" w:type="dxa"/>
        </w:tblCellMar>
      </w:tblPr>
      <w:tblGrid>
        <w:gridCol w:w="463"/>
        <w:gridCol w:w="804"/>
        <w:gridCol w:w="1474"/>
        <w:gridCol w:w="1786"/>
        <w:gridCol w:w="1356"/>
        <w:gridCol w:w="1479"/>
        <w:gridCol w:w="709"/>
        <w:gridCol w:w="708"/>
        <w:gridCol w:w="1746"/>
      </w:tblGrid>
      <w:tr>
        <w:tblPrEx>
          <w:tblCellMar>
            <w:top w:w="15" w:type="dxa"/>
            <w:left w:w="15" w:type="dxa"/>
            <w:bottom w:w="15" w:type="dxa"/>
            <w:right w:w="15" w:type="dxa"/>
          </w:tblCellMar>
        </w:tblPrEx>
        <w:trPr>
          <w:trHeight w:val="20" w:hRule="atLeast"/>
          <w:jc w:val="center"/>
        </w:trPr>
        <w:tc>
          <w:tcPr>
            <w:tcW w:w="10525" w:type="dxa"/>
            <w:gridSpan w:val="9"/>
            <w:noWrap w:val="0"/>
            <w:vAlign w:val="center"/>
          </w:tcPr>
          <w:p>
            <w:pPr>
              <w:widowControl/>
              <w:spacing w:line="320" w:lineRule="exact"/>
              <w:jc w:val="center"/>
              <w:textAlignment w:val="center"/>
              <w:rPr>
                <w:rFonts w:ascii="方正小标宋简体" w:hAnsi="方正小标宋简体" w:eastAsia="方正小标宋简体" w:cs="方正小标宋简体"/>
                <w:color w:val="000000"/>
                <w:sz w:val="36"/>
                <w:szCs w:val="40"/>
              </w:rPr>
            </w:pPr>
            <w:r>
              <w:rPr>
                <w:rFonts w:hint="eastAsia" w:ascii="方正小标宋简体" w:hAnsi="方正小标宋简体" w:eastAsia="方正小标宋简体" w:cs="方正小标宋简体"/>
                <w:color w:val="000000"/>
                <w:kern w:val="0"/>
                <w:sz w:val="36"/>
                <w:szCs w:val="40"/>
                <w:lang w:bidi="ar"/>
              </w:rPr>
              <w:t>市级预算项目支出绩效自评表</w:t>
            </w:r>
          </w:p>
        </w:tc>
      </w:tr>
      <w:tr>
        <w:tblPrEx>
          <w:tblCellMar>
            <w:top w:w="15" w:type="dxa"/>
            <w:left w:w="15" w:type="dxa"/>
            <w:bottom w:w="15" w:type="dxa"/>
            <w:right w:w="15" w:type="dxa"/>
          </w:tblCellMar>
        </w:tblPrEx>
        <w:trPr>
          <w:trHeight w:val="20" w:hRule="atLeast"/>
          <w:jc w:val="center"/>
        </w:trPr>
        <w:tc>
          <w:tcPr>
            <w:tcW w:w="10525" w:type="dxa"/>
            <w:gridSpan w:val="9"/>
            <w:noWrap w:val="0"/>
            <w:vAlign w:val="center"/>
          </w:tcPr>
          <w:p>
            <w:pPr>
              <w:widowControl/>
              <w:spacing w:line="320" w:lineRule="exact"/>
              <w:jc w:val="center"/>
              <w:textAlignment w:val="center"/>
              <w:rPr>
                <w:rFonts w:ascii="楷体_GB2312" w:hAnsi="宋体" w:eastAsia="楷体_GB2312" w:cs="楷体_GB2312"/>
                <w:color w:val="000000"/>
                <w:sz w:val="24"/>
              </w:rPr>
            </w:pPr>
            <w:r>
              <w:rPr>
                <w:rFonts w:hint="eastAsia" w:ascii="楷体_GB2312" w:hAnsi="宋体" w:eastAsia="楷体_GB2312" w:cs="楷体_GB2312"/>
                <w:color w:val="000000"/>
                <w:kern w:val="0"/>
                <w:sz w:val="24"/>
                <w:lang w:bidi="ar"/>
              </w:rPr>
              <w:t>（ 2021 年度）</w:t>
            </w:r>
          </w:p>
        </w:tc>
      </w:tr>
      <w:tr>
        <w:tblPrEx>
          <w:tblCellMar>
            <w:top w:w="15" w:type="dxa"/>
            <w:left w:w="15" w:type="dxa"/>
            <w:bottom w:w="15" w:type="dxa"/>
            <w:right w:w="15" w:type="dxa"/>
          </w:tblCellMar>
        </w:tblPrEx>
        <w:trPr>
          <w:trHeight w:val="20" w:hRule="atLeast"/>
          <w:jc w:val="center"/>
        </w:trPr>
        <w:tc>
          <w:tcPr>
            <w:tcW w:w="463" w:type="dxa"/>
            <w:noWrap w:val="0"/>
            <w:vAlign w:val="center"/>
          </w:tcPr>
          <w:p>
            <w:pPr>
              <w:spacing w:line="320" w:lineRule="exact"/>
              <w:jc w:val="center"/>
              <w:rPr>
                <w:rFonts w:ascii="宋体" w:hAnsi="宋体" w:cs="宋体"/>
                <w:color w:val="000000"/>
                <w:sz w:val="20"/>
                <w:szCs w:val="20"/>
              </w:rPr>
            </w:pPr>
          </w:p>
        </w:tc>
        <w:tc>
          <w:tcPr>
            <w:tcW w:w="804" w:type="dxa"/>
            <w:noWrap w:val="0"/>
            <w:vAlign w:val="center"/>
          </w:tcPr>
          <w:p>
            <w:pPr>
              <w:spacing w:line="320" w:lineRule="exact"/>
              <w:jc w:val="center"/>
              <w:rPr>
                <w:rFonts w:ascii="宋体" w:hAnsi="宋体" w:cs="宋体"/>
                <w:color w:val="000000"/>
                <w:sz w:val="20"/>
                <w:szCs w:val="20"/>
              </w:rPr>
            </w:pPr>
          </w:p>
        </w:tc>
        <w:tc>
          <w:tcPr>
            <w:tcW w:w="1474" w:type="dxa"/>
            <w:noWrap w:val="0"/>
            <w:vAlign w:val="center"/>
          </w:tcPr>
          <w:p>
            <w:pPr>
              <w:spacing w:line="320" w:lineRule="exact"/>
              <w:jc w:val="center"/>
              <w:rPr>
                <w:rFonts w:ascii="宋体" w:hAnsi="宋体" w:cs="宋体"/>
                <w:color w:val="000000"/>
                <w:sz w:val="20"/>
                <w:szCs w:val="20"/>
              </w:rPr>
            </w:pPr>
          </w:p>
        </w:tc>
        <w:tc>
          <w:tcPr>
            <w:tcW w:w="1786" w:type="dxa"/>
            <w:noWrap w:val="0"/>
            <w:vAlign w:val="center"/>
          </w:tcPr>
          <w:p>
            <w:pPr>
              <w:spacing w:line="320" w:lineRule="exact"/>
              <w:jc w:val="center"/>
              <w:rPr>
                <w:rFonts w:ascii="宋体" w:hAnsi="宋体" w:cs="宋体"/>
                <w:color w:val="000000"/>
                <w:sz w:val="20"/>
                <w:szCs w:val="20"/>
              </w:rPr>
            </w:pPr>
          </w:p>
        </w:tc>
        <w:tc>
          <w:tcPr>
            <w:tcW w:w="1356" w:type="dxa"/>
            <w:noWrap w:val="0"/>
            <w:vAlign w:val="center"/>
          </w:tcPr>
          <w:p>
            <w:pPr>
              <w:spacing w:line="320" w:lineRule="exact"/>
              <w:jc w:val="center"/>
              <w:rPr>
                <w:rFonts w:ascii="宋体" w:hAnsi="宋体" w:cs="宋体"/>
                <w:color w:val="000000"/>
                <w:sz w:val="20"/>
                <w:szCs w:val="20"/>
              </w:rPr>
            </w:pPr>
          </w:p>
        </w:tc>
        <w:tc>
          <w:tcPr>
            <w:tcW w:w="1479" w:type="dxa"/>
            <w:noWrap w:val="0"/>
            <w:vAlign w:val="center"/>
          </w:tcPr>
          <w:p>
            <w:pPr>
              <w:spacing w:line="320" w:lineRule="exact"/>
              <w:jc w:val="center"/>
              <w:rPr>
                <w:rFonts w:ascii="宋体" w:hAnsi="宋体" w:cs="宋体"/>
                <w:color w:val="000000"/>
                <w:sz w:val="20"/>
                <w:szCs w:val="20"/>
              </w:rPr>
            </w:pPr>
          </w:p>
        </w:tc>
        <w:tc>
          <w:tcPr>
            <w:tcW w:w="709" w:type="dxa"/>
            <w:noWrap w:val="0"/>
            <w:vAlign w:val="center"/>
          </w:tcPr>
          <w:p>
            <w:pPr>
              <w:spacing w:line="320" w:lineRule="exact"/>
              <w:jc w:val="center"/>
              <w:rPr>
                <w:rFonts w:ascii="宋体" w:hAnsi="宋体" w:cs="宋体"/>
                <w:color w:val="000000"/>
                <w:sz w:val="20"/>
                <w:szCs w:val="20"/>
              </w:rPr>
            </w:pPr>
          </w:p>
        </w:tc>
        <w:tc>
          <w:tcPr>
            <w:tcW w:w="708" w:type="dxa"/>
            <w:noWrap w:val="0"/>
            <w:vAlign w:val="center"/>
          </w:tcPr>
          <w:p>
            <w:pPr>
              <w:spacing w:line="320" w:lineRule="exact"/>
              <w:jc w:val="center"/>
              <w:rPr>
                <w:rFonts w:ascii="宋体" w:hAnsi="宋体" w:cs="宋体"/>
                <w:color w:val="000000"/>
                <w:sz w:val="20"/>
                <w:szCs w:val="20"/>
              </w:rPr>
            </w:pPr>
          </w:p>
        </w:tc>
        <w:tc>
          <w:tcPr>
            <w:tcW w:w="1746" w:type="dxa"/>
            <w:noWrap w:val="0"/>
            <w:vAlign w:val="center"/>
          </w:tcPr>
          <w:p>
            <w:pPr>
              <w:widowControl/>
              <w:spacing w:line="320" w:lineRule="exact"/>
              <w:jc w:val="right"/>
              <w:textAlignment w:val="center"/>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15" w:type="dxa"/>
            <w:left w:w="15" w:type="dxa"/>
            <w:bottom w:w="15" w:type="dxa"/>
            <w:right w:w="15" w:type="dxa"/>
          </w:tblCellMar>
        </w:tblPrEx>
        <w:trPr>
          <w:trHeight w:val="20" w:hRule="atLeast"/>
          <w:jc w:val="center"/>
        </w:trPr>
        <w:tc>
          <w:tcPr>
            <w:tcW w:w="12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项目名称</w:t>
            </w:r>
          </w:p>
        </w:tc>
        <w:tc>
          <w:tcPr>
            <w:tcW w:w="461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孤残儿童康复项目</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主管单位</w:t>
            </w:r>
          </w:p>
        </w:tc>
        <w:tc>
          <w:tcPr>
            <w:tcW w:w="316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泰安市民政局</w:t>
            </w:r>
          </w:p>
        </w:tc>
      </w:tr>
      <w:tr>
        <w:tblPrEx>
          <w:tblCellMar>
            <w:top w:w="15" w:type="dxa"/>
            <w:left w:w="15" w:type="dxa"/>
            <w:bottom w:w="15" w:type="dxa"/>
            <w:right w:w="15" w:type="dxa"/>
          </w:tblCellMar>
        </w:tblPrEx>
        <w:trPr>
          <w:trHeight w:val="20" w:hRule="atLeast"/>
          <w:jc w:val="center"/>
        </w:trPr>
        <w:tc>
          <w:tcPr>
            <w:tcW w:w="126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color w:val="000000"/>
                <w:kern w:val="0"/>
                <w:sz w:val="20"/>
                <w:szCs w:val="20"/>
                <w:lang w:eastAsia="zh-CN" w:bidi="ar"/>
              </w:rPr>
            </w:pPr>
            <w:r>
              <w:rPr>
                <w:rFonts w:hint="eastAsia" w:ascii="宋体" w:hAnsi="宋体" w:cs="宋体"/>
                <w:b/>
                <w:color w:val="000000"/>
                <w:kern w:val="0"/>
                <w:sz w:val="20"/>
                <w:szCs w:val="20"/>
                <w:lang w:bidi="ar"/>
              </w:rPr>
              <w:t>项目预算</w:t>
            </w:r>
          </w:p>
          <w:p>
            <w:pPr>
              <w:widowControl/>
              <w:spacing w:line="320" w:lineRule="exact"/>
              <w:jc w:val="center"/>
              <w:textAlignment w:val="center"/>
              <w:rPr>
                <w:rFonts w:hint="eastAsia" w:ascii="宋体" w:hAnsi="宋体" w:eastAsia="宋体" w:cs="宋体"/>
                <w:b/>
                <w:color w:val="000000"/>
                <w:kern w:val="0"/>
                <w:sz w:val="20"/>
                <w:szCs w:val="20"/>
                <w:lang w:eastAsia="zh-CN" w:bidi="ar"/>
              </w:rPr>
            </w:pPr>
            <w:r>
              <w:rPr>
                <w:rFonts w:hint="eastAsia" w:ascii="宋体" w:hAnsi="宋体" w:cs="宋体"/>
                <w:b/>
                <w:color w:val="000000"/>
                <w:kern w:val="0"/>
                <w:sz w:val="20"/>
                <w:szCs w:val="20"/>
                <w:lang w:bidi="ar"/>
              </w:rPr>
              <w:t>执行情况</w:t>
            </w:r>
          </w:p>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（10分）</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年初预算数</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全年预算数（A）</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全年执行数（B）</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分值</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执行率（B/A)</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得分</w:t>
            </w:r>
          </w:p>
        </w:tc>
      </w:tr>
      <w:tr>
        <w:tblPrEx>
          <w:tblCellMar>
            <w:top w:w="15" w:type="dxa"/>
            <w:left w:w="15" w:type="dxa"/>
            <w:bottom w:w="15" w:type="dxa"/>
            <w:right w:w="15" w:type="dxa"/>
          </w:tblCellMar>
        </w:tblPrEx>
        <w:trPr>
          <w:trHeight w:val="20" w:hRule="atLeast"/>
          <w:jc w:val="center"/>
        </w:trPr>
        <w:tc>
          <w:tcPr>
            <w:tcW w:w="126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64.95</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sz w:val="20"/>
                <w:szCs w:val="20"/>
              </w:rPr>
              <w:t>86.6%</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sz w:val="20"/>
                <w:szCs w:val="20"/>
              </w:rPr>
              <w:t>9.21</w:t>
            </w:r>
          </w:p>
        </w:tc>
      </w:tr>
      <w:tr>
        <w:tblPrEx>
          <w:tblCellMar>
            <w:top w:w="15" w:type="dxa"/>
            <w:left w:w="15" w:type="dxa"/>
            <w:bottom w:w="15" w:type="dxa"/>
            <w:right w:w="15" w:type="dxa"/>
          </w:tblCellMar>
        </w:tblPrEx>
        <w:trPr>
          <w:trHeight w:val="20" w:hRule="atLeast"/>
          <w:jc w:val="center"/>
        </w:trPr>
        <w:tc>
          <w:tcPr>
            <w:tcW w:w="126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其中：当年财政拨款</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sz w:val="20"/>
                <w:szCs w:val="20"/>
              </w:rPr>
              <w:t>64.95</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w:t>
            </w:r>
          </w:p>
        </w:tc>
      </w:tr>
      <w:tr>
        <w:tblPrEx>
          <w:tblCellMar>
            <w:top w:w="15" w:type="dxa"/>
            <w:left w:w="15" w:type="dxa"/>
            <w:bottom w:w="15" w:type="dxa"/>
            <w:right w:w="15" w:type="dxa"/>
          </w:tblCellMar>
        </w:tblPrEx>
        <w:trPr>
          <w:trHeight w:val="20" w:hRule="atLeast"/>
          <w:jc w:val="center"/>
        </w:trPr>
        <w:tc>
          <w:tcPr>
            <w:tcW w:w="126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上年结转资金</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r>
      <w:tr>
        <w:tblPrEx>
          <w:tblCellMar>
            <w:top w:w="15" w:type="dxa"/>
            <w:left w:w="15" w:type="dxa"/>
            <w:bottom w:w="15" w:type="dxa"/>
            <w:right w:w="15" w:type="dxa"/>
          </w:tblCellMar>
        </w:tblPrEx>
        <w:trPr>
          <w:trHeight w:val="20" w:hRule="atLeast"/>
          <w:jc w:val="center"/>
        </w:trPr>
        <w:tc>
          <w:tcPr>
            <w:tcW w:w="126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其他资金</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r>
      <w:tr>
        <w:tblPrEx>
          <w:tblCellMar>
            <w:top w:w="15" w:type="dxa"/>
            <w:left w:w="15" w:type="dxa"/>
            <w:bottom w:w="15" w:type="dxa"/>
            <w:right w:w="15" w:type="dxa"/>
          </w:tblCellMar>
        </w:tblPrEx>
        <w:trPr>
          <w:trHeight w:val="20" w:hRule="atLeast"/>
          <w:jc w:val="center"/>
        </w:trPr>
        <w:tc>
          <w:tcPr>
            <w:tcW w:w="126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年度总体目标</w:t>
            </w:r>
          </w:p>
        </w:tc>
        <w:tc>
          <w:tcPr>
            <w:tcW w:w="461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年初预期目标</w:t>
            </w:r>
          </w:p>
        </w:tc>
        <w:tc>
          <w:tcPr>
            <w:tcW w:w="464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目标实际完成情况</w:t>
            </w:r>
          </w:p>
        </w:tc>
      </w:tr>
      <w:tr>
        <w:tblPrEx>
          <w:tblCellMar>
            <w:top w:w="15" w:type="dxa"/>
            <w:left w:w="15" w:type="dxa"/>
            <w:bottom w:w="15" w:type="dxa"/>
            <w:right w:w="15" w:type="dxa"/>
          </w:tblCellMar>
        </w:tblPrEx>
        <w:trPr>
          <w:trHeight w:val="20" w:hRule="atLeast"/>
          <w:jc w:val="center"/>
        </w:trPr>
        <w:tc>
          <w:tcPr>
            <w:tcW w:w="126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461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通过项目实施，一是保障孤残儿童康复设备及软件经费，二是保障孤残儿童脑瘫及智障康复项目。</w:t>
            </w:r>
          </w:p>
        </w:tc>
        <w:tc>
          <w:tcPr>
            <w:tcW w:w="4642"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通过项目实施，有效保障了孤残儿童康复设备及软件经费和孤残儿童脑瘫及智障康复项目实施。</w:t>
            </w:r>
          </w:p>
        </w:tc>
      </w:tr>
      <w:tr>
        <w:tblPrEx>
          <w:tblCellMar>
            <w:top w:w="15" w:type="dxa"/>
            <w:left w:w="15" w:type="dxa"/>
            <w:bottom w:w="15" w:type="dxa"/>
            <w:right w:w="15" w:type="dxa"/>
          </w:tblCellMar>
        </w:tblPrEx>
        <w:trPr>
          <w:trHeight w:val="20"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绩效指标</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color w:val="000000"/>
                <w:kern w:val="0"/>
                <w:sz w:val="20"/>
                <w:szCs w:val="20"/>
                <w:lang w:eastAsia="zh-CN" w:bidi="ar"/>
              </w:rPr>
            </w:pPr>
            <w:r>
              <w:rPr>
                <w:rFonts w:hint="eastAsia" w:ascii="宋体" w:hAnsi="宋体" w:cs="宋体"/>
                <w:b/>
                <w:color w:val="000000"/>
                <w:kern w:val="0"/>
                <w:sz w:val="20"/>
                <w:szCs w:val="20"/>
                <w:lang w:bidi="ar"/>
              </w:rPr>
              <w:t>一级</w:t>
            </w:r>
          </w:p>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指标</w:t>
            </w:r>
          </w:p>
        </w:tc>
        <w:tc>
          <w:tcPr>
            <w:tcW w:w="14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二级指标</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三级指标</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年度指标值（A）</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color w:val="000000"/>
                <w:kern w:val="0"/>
                <w:sz w:val="20"/>
                <w:szCs w:val="20"/>
                <w:lang w:eastAsia="zh-CN" w:bidi="ar"/>
              </w:rPr>
            </w:pPr>
            <w:r>
              <w:rPr>
                <w:rFonts w:hint="eastAsia" w:ascii="宋体" w:hAnsi="宋体" w:cs="宋体"/>
                <w:b/>
                <w:color w:val="000000"/>
                <w:kern w:val="0"/>
                <w:sz w:val="20"/>
                <w:szCs w:val="20"/>
                <w:lang w:bidi="ar"/>
              </w:rPr>
              <w:t>实际完成</w:t>
            </w:r>
          </w:p>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指标值（B）</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分值</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得分</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偏差原因分析及改进措施</w:t>
            </w:r>
          </w:p>
        </w:tc>
      </w:tr>
      <w:tr>
        <w:tblPrEx>
          <w:tblCellMar>
            <w:top w:w="15" w:type="dxa"/>
            <w:left w:w="15" w:type="dxa"/>
            <w:bottom w:w="15" w:type="dxa"/>
            <w:right w:w="15" w:type="dxa"/>
          </w:tblCellMar>
        </w:tblPrEx>
        <w:trPr>
          <w:trHeight w:val="255" w:hRule="atLeast"/>
          <w:jc w:val="center"/>
        </w:trPr>
        <w:tc>
          <w:tcPr>
            <w:tcW w:w="463"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b/>
                <w:color w:val="000000"/>
                <w:kern w:val="0"/>
                <w:sz w:val="20"/>
                <w:szCs w:val="20"/>
                <w:lang w:eastAsia="zh-CN" w:bidi="ar"/>
              </w:rPr>
            </w:pPr>
            <w:r>
              <w:rPr>
                <w:rFonts w:hint="eastAsia" w:ascii="宋体" w:hAnsi="宋体" w:cs="宋体"/>
                <w:b/>
                <w:color w:val="000000"/>
                <w:kern w:val="0"/>
                <w:sz w:val="20"/>
                <w:szCs w:val="20"/>
                <w:lang w:bidi="ar"/>
              </w:rPr>
              <w:t>年</w:t>
            </w:r>
          </w:p>
          <w:p>
            <w:pPr>
              <w:widowControl/>
              <w:spacing w:line="320" w:lineRule="exact"/>
              <w:jc w:val="center"/>
              <w:textAlignment w:val="center"/>
              <w:rPr>
                <w:rFonts w:hint="eastAsia" w:ascii="宋体" w:hAnsi="宋体" w:eastAsia="宋体" w:cs="宋体"/>
                <w:b/>
                <w:color w:val="000000"/>
                <w:kern w:val="0"/>
                <w:sz w:val="20"/>
                <w:szCs w:val="20"/>
                <w:lang w:eastAsia="zh-CN" w:bidi="ar"/>
              </w:rPr>
            </w:pPr>
            <w:r>
              <w:rPr>
                <w:rFonts w:hint="eastAsia" w:ascii="宋体" w:hAnsi="宋体" w:cs="宋体"/>
                <w:b/>
                <w:color w:val="000000"/>
                <w:kern w:val="0"/>
                <w:sz w:val="20"/>
                <w:szCs w:val="20"/>
                <w:lang w:bidi="ar"/>
              </w:rPr>
              <w:t>度</w:t>
            </w:r>
          </w:p>
          <w:p>
            <w:pPr>
              <w:widowControl/>
              <w:spacing w:line="320" w:lineRule="exact"/>
              <w:jc w:val="center"/>
              <w:textAlignment w:val="center"/>
              <w:rPr>
                <w:rFonts w:hint="eastAsia" w:ascii="宋体" w:hAnsi="宋体" w:eastAsia="宋体" w:cs="宋体"/>
                <w:b/>
                <w:color w:val="000000"/>
                <w:kern w:val="0"/>
                <w:sz w:val="20"/>
                <w:szCs w:val="20"/>
                <w:lang w:eastAsia="zh-CN" w:bidi="ar"/>
              </w:rPr>
            </w:pPr>
            <w:r>
              <w:rPr>
                <w:rFonts w:hint="eastAsia" w:ascii="宋体" w:hAnsi="宋体" w:cs="宋体"/>
                <w:b/>
                <w:color w:val="000000"/>
                <w:kern w:val="0"/>
                <w:sz w:val="20"/>
                <w:szCs w:val="20"/>
                <w:lang w:bidi="ar"/>
              </w:rPr>
              <w:t>绩</w:t>
            </w:r>
          </w:p>
          <w:p>
            <w:pPr>
              <w:widowControl/>
              <w:spacing w:line="320" w:lineRule="exact"/>
              <w:jc w:val="center"/>
              <w:textAlignment w:val="center"/>
              <w:rPr>
                <w:rFonts w:hint="eastAsia" w:ascii="宋体" w:hAnsi="宋体" w:eastAsia="宋体" w:cs="宋体"/>
                <w:b/>
                <w:color w:val="000000"/>
                <w:kern w:val="0"/>
                <w:sz w:val="20"/>
                <w:szCs w:val="20"/>
                <w:lang w:eastAsia="zh-CN" w:bidi="ar"/>
              </w:rPr>
            </w:pPr>
            <w:r>
              <w:rPr>
                <w:rFonts w:hint="eastAsia" w:ascii="宋体" w:hAnsi="宋体" w:cs="宋体"/>
                <w:b/>
                <w:color w:val="000000"/>
                <w:kern w:val="0"/>
                <w:sz w:val="20"/>
                <w:szCs w:val="20"/>
                <w:lang w:bidi="ar"/>
              </w:rPr>
              <w:t>效</w:t>
            </w:r>
          </w:p>
          <w:p>
            <w:pPr>
              <w:widowControl/>
              <w:spacing w:line="320" w:lineRule="exact"/>
              <w:jc w:val="center"/>
              <w:textAlignment w:val="center"/>
              <w:rPr>
                <w:rFonts w:hint="eastAsia" w:ascii="宋体" w:hAnsi="宋体" w:eastAsia="宋体" w:cs="宋体"/>
                <w:b/>
                <w:color w:val="000000"/>
                <w:kern w:val="0"/>
                <w:sz w:val="20"/>
                <w:szCs w:val="20"/>
                <w:lang w:eastAsia="zh-CN" w:bidi="ar"/>
              </w:rPr>
            </w:pPr>
            <w:r>
              <w:rPr>
                <w:rFonts w:hint="eastAsia" w:ascii="宋体" w:hAnsi="宋体" w:cs="宋体"/>
                <w:b/>
                <w:color w:val="000000"/>
                <w:kern w:val="0"/>
                <w:sz w:val="20"/>
                <w:szCs w:val="20"/>
                <w:lang w:bidi="ar"/>
              </w:rPr>
              <w:t>指</w:t>
            </w:r>
          </w:p>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标</w:t>
            </w:r>
          </w:p>
        </w:tc>
        <w:tc>
          <w:tcPr>
            <w:tcW w:w="804"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产</w:t>
            </w:r>
          </w:p>
          <w:p>
            <w:pPr>
              <w:widowControl/>
              <w:spacing w:line="320" w:lineRule="exact"/>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出</w:t>
            </w:r>
          </w:p>
          <w:p>
            <w:pPr>
              <w:widowControl/>
              <w:spacing w:line="320" w:lineRule="exact"/>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指</w:t>
            </w:r>
          </w:p>
          <w:p>
            <w:pPr>
              <w:widowControl/>
              <w:spacing w:line="320" w:lineRule="exact"/>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标</w:t>
            </w:r>
          </w:p>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（50分）</w:t>
            </w:r>
          </w:p>
        </w:tc>
        <w:tc>
          <w:tcPr>
            <w:tcW w:w="1474"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数量指标</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0"/>
                <w:szCs w:val="20"/>
              </w:rPr>
            </w:pPr>
            <w:r>
              <w:rPr>
                <w:rFonts w:hint="eastAsia" w:ascii="宋体" w:hAnsi="宋体" w:cs="宋体"/>
                <w:color w:val="000000"/>
                <w:sz w:val="20"/>
                <w:szCs w:val="20"/>
              </w:rPr>
              <w:t>脑瘫残疾孤儿</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0"/>
                <w:szCs w:val="20"/>
              </w:rPr>
            </w:pPr>
            <w:r>
              <w:rPr>
                <w:rFonts w:hint="eastAsia" w:ascii="宋体" w:hAnsi="宋体" w:cs="宋体"/>
                <w:color w:val="000000"/>
                <w:sz w:val="20"/>
                <w:szCs w:val="20"/>
              </w:rPr>
              <w:t>=12</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cs="宋体"/>
                <w:color w:val="000000"/>
                <w:sz w:val="20"/>
                <w:szCs w:val="20"/>
              </w:rPr>
            </w:pPr>
            <w:r>
              <w:rPr>
                <w:rFonts w:hint="eastAsia" w:ascii="宋体" w:hAnsi="宋体" w:cs="宋体"/>
                <w:color w:val="000000"/>
                <w:sz w:val="20"/>
                <w:szCs w:val="20"/>
              </w:rPr>
              <w:t>12</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r>
      <w:tr>
        <w:tblPrEx>
          <w:tblCellMar>
            <w:top w:w="15" w:type="dxa"/>
            <w:left w:w="15" w:type="dxa"/>
            <w:bottom w:w="15" w:type="dxa"/>
            <w:right w:w="15" w:type="dxa"/>
          </w:tblCellMar>
        </w:tblPrEx>
        <w:trPr>
          <w:trHeight w:val="90" w:hRule="atLeast"/>
          <w:jc w:val="center"/>
        </w:trPr>
        <w:tc>
          <w:tcPr>
            <w:tcW w:w="463" w:type="dxa"/>
            <w:vMerge w:val="continue"/>
            <w:tcBorders>
              <w:left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804" w:type="dxa"/>
            <w:vMerge w:val="continue"/>
            <w:tcBorders>
              <w:left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474"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0"/>
                <w:szCs w:val="20"/>
                <w:lang w:bidi="ar"/>
              </w:rPr>
            </w:pP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智障残疾儿童</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=18</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r>
      <w:tr>
        <w:tblPrEx>
          <w:tblCellMar>
            <w:top w:w="15" w:type="dxa"/>
            <w:left w:w="15" w:type="dxa"/>
            <w:bottom w:w="15" w:type="dxa"/>
            <w:right w:w="15" w:type="dxa"/>
          </w:tblCellMar>
        </w:tblPrEx>
        <w:trPr>
          <w:trHeight w:val="20" w:hRule="atLeast"/>
          <w:jc w:val="center"/>
        </w:trPr>
        <w:tc>
          <w:tcPr>
            <w:tcW w:w="463" w:type="dxa"/>
            <w:vMerge w:val="continue"/>
            <w:tcBorders>
              <w:left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804" w:type="dxa"/>
            <w:vMerge w:val="continue"/>
            <w:tcBorders>
              <w:left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474" w:type="dxa"/>
            <w:vMerge w:val="restart"/>
            <w:tcBorders>
              <w:top w:val="single" w:color="000000"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质量指标</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脑瘫康复达标率</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≥98%</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98%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r>
              <w:rPr>
                <w:rFonts w:hint="eastAsia"/>
                <w:sz w:val="20"/>
                <w:szCs w:val="20"/>
              </w:rPr>
              <w:t>　</w:t>
            </w:r>
          </w:p>
        </w:tc>
      </w:tr>
      <w:tr>
        <w:tblPrEx>
          <w:tblCellMar>
            <w:top w:w="15" w:type="dxa"/>
            <w:left w:w="15" w:type="dxa"/>
            <w:bottom w:w="15" w:type="dxa"/>
            <w:right w:w="15" w:type="dxa"/>
          </w:tblCellMar>
        </w:tblPrEx>
        <w:trPr>
          <w:trHeight w:val="20" w:hRule="atLeast"/>
          <w:jc w:val="center"/>
        </w:trPr>
        <w:tc>
          <w:tcPr>
            <w:tcW w:w="463" w:type="dxa"/>
            <w:vMerge w:val="continue"/>
            <w:tcBorders>
              <w:left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804" w:type="dxa"/>
            <w:vMerge w:val="continue"/>
            <w:tcBorders>
              <w:left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474"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0"/>
                <w:szCs w:val="20"/>
                <w:lang w:bidi="ar"/>
              </w:rPr>
            </w:pP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智障康复达标率</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≥98%</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98%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r>
              <w:rPr>
                <w:rFonts w:hint="eastAsia"/>
                <w:sz w:val="20"/>
                <w:szCs w:val="20"/>
              </w:rPr>
              <w:t>　</w:t>
            </w:r>
          </w:p>
        </w:tc>
      </w:tr>
      <w:tr>
        <w:tblPrEx>
          <w:tblCellMar>
            <w:top w:w="15" w:type="dxa"/>
            <w:left w:w="15" w:type="dxa"/>
            <w:bottom w:w="15" w:type="dxa"/>
            <w:right w:w="15" w:type="dxa"/>
          </w:tblCellMar>
        </w:tblPrEx>
        <w:trPr>
          <w:trHeight w:val="20" w:hRule="atLeast"/>
          <w:jc w:val="center"/>
        </w:trPr>
        <w:tc>
          <w:tcPr>
            <w:tcW w:w="463" w:type="dxa"/>
            <w:vMerge w:val="continue"/>
            <w:tcBorders>
              <w:left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804" w:type="dxa"/>
            <w:vMerge w:val="continue"/>
            <w:tcBorders>
              <w:left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时效指标</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每天康复时间</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4节课</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4节课</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r>
              <w:rPr>
                <w:rFonts w:hint="eastAsia"/>
                <w:sz w:val="20"/>
                <w:szCs w:val="20"/>
              </w:rPr>
              <w:t>　</w:t>
            </w:r>
          </w:p>
        </w:tc>
      </w:tr>
      <w:tr>
        <w:tblPrEx>
          <w:tblCellMar>
            <w:top w:w="15" w:type="dxa"/>
            <w:left w:w="15" w:type="dxa"/>
            <w:bottom w:w="15" w:type="dxa"/>
            <w:right w:w="15" w:type="dxa"/>
          </w:tblCellMar>
        </w:tblPrEx>
        <w:trPr>
          <w:trHeight w:val="462" w:hRule="atLeast"/>
          <w:jc w:val="center"/>
        </w:trPr>
        <w:tc>
          <w:tcPr>
            <w:tcW w:w="463" w:type="dxa"/>
            <w:vMerge w:val="continue"/>
            <w:tcBorders>
              <w:left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804" w:type="dxa"/>
            <w:vMerge w:val="continue"/>
            <w:tcBorders>
              <w:left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kern w:val="0"/>
                <w:sz w:val="20"/>
                <w:szCs w:val="20"/>
                <w:lang w:bidi="ar"/>
              </w:rPr>
            </w:pPr>
          </w:p>
        </w:tc>
        <w:tc>
          <w:tcPr>
            <w:tcW w:w="1474"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成本指标</w:t>
            </w: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脑瘫康复</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=200</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200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r>
              <w:rPr>
                <w:rFonts w:hint="eastAsia"/>
                <w:sz w:val="20"/>
                <w:szCs w:val="20"/>
              </w:rPr>
              <w:t>　</w:t>
            </w:r>
          </w:p>
        </w:tc>
      </w:tr>
      <w:tr>
        <w:tblPrEx>
          <w:tblCellMar>
            <w:top w:w="15" w:type="dxa"/>
            <w:left w:w="15" w:type="dxa"/>
            <w:bottom w:w="15" w:type="dxa"/>
            <w:right w:w="15" w:type="dxa"/>
          </w:tblCellMar>
        </w:tblPrEx>
        <w:trPr>
          <w:trHeight w:val="20" w:hRule="atLeast"/>
          <w:jc w:val="center"/>
        </w:trPr>
        <w:tc>
          <w:tcPr>
            <w:tcW w:w="463" w:type="dxa"/>
            <w:vMerge w:val="continue"/>
            <w:tcBorders>
              <w:left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804" w:type="dxa"/>
            <w:vMerge w:val="continue"/>
            <w:tcBorders>
              <w:left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474" w:type="dxa"/>
            <w:vMerge w:val="continue"/>
            <w:tcBorders>
              <w:left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color w:val="000000"/>
                <w:kern w:val="0"/>
                <w:sz w:val="20"/>
                <w:szCs w:val="20"/>
                <w:lang w:bidi="ar"/>
              </w:rPr>
            </w:pP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智障康复</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=240</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240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6</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r>
      <w:tr>
        <w:tblPrEx>
          <w:tblCellMar>
            <w:top w:w="15" w:type="dxa"/>
            <w:left w:w="15" w:type="dxa"/>
            <w:bottom w:w="15" w:type="dxa"/>
            <w:right w:w="15" w:type="dxa"/>
          </w:tblCellMar>
        </w:tblPrEx>
        <w:trPr>
          <w:trHeight w:val="20" w:hRule="atLeast"/>
          <w:jc w:val="center"/>
        </w:trPr>
        <w:tc>
          <w:tcPr>
            <w:tcW w:w="463" w:type="dxa"/>
            <w:vMerge w:val="continue"/>
            <w:tcBorders>
              <w:left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804"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center"/>
              <w:textAlignment w:val="center"/>
              <w:rPr>
                <w:rFonts w:ascii="宋体" w:hAnsi="宋体" w:cs="宋体"/>
                <w:color w:val="000000"/>
                <w:kern w:val="0"/>
                <w:sz w:val="20"/>
                <w:szCs w:val="20"/>
                <w:lang w:bidi="ar"/>
              </w:rPr>
            </w:pPr>
          </w:p>
        </w:tc>
        <w:tc>
          <w:tcPr>
            <w:tcW w:w="1474"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color w:val="000000"/>
                <w:kern w:val="0"/>
                <w:sz w:val="20"/>
                <w:szCs w:val="20"/>
                <w:lang w:bidi="ar"/>
              </w:rPr>
            </w:pPr>
          </w:p>
        </w:tc>
        <w:tc>
          <w:tcPr>
            <w:tcW w:w="178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康复设备</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=310</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310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r>
              <w:rPr>
                <w:rFonts w:hint="eastAsia"/>
                <w:sz w:val="20"/>
                <w:szCs w:val="20"/>
              </w:rPr>
              <w:t>　</w:t>
            </w:r>
          </w:p>
        </w:tc>
      </w:tr>
      <w:tr>
        <w:tblPrEx>
          <w:tblCellMar>
            <w:top w:w="15" w:type="dxa"/>
            <w:left w:w="15" w:type="dxa"/>
            <w:bottom w:w="15" w:type="dxa"/>
            <w:right w:w="15" w:type="dxa"/>
          </w:tblCellMar>
        </w:tblPrEx>
        <w:trPr>
          <w:trHeight w:val="410" w:hRule="atLeast"/>
          <w:jc w:val="center"/>
        </w:trPr>
        <w:tc>
          <w:tcPr>
            <w:tcW w:w="463" w:type="dxa"/>
            <w:vMerge w:val="continue"/>
            <w:tcBorders>
              <w:left w:val="single" w:color="000000" w:sz="4" w:space="0"/>
              <w:right w:val="single" w:color="auto" w:sz="4" w:space="0"/>
            </w:tcBorders>
            <w:noWrap w:val="0"/>
            <w:vAlign w:val="center"/>
          </w:tcPr>
          <w:p>
            <w:pPr>
              <w:spacing w:line="320" w:lineRule="exact"/>
              <w:jc w:val="center"/>
              <w:rPr>
                <w:rFonts w:ascii="宋体" w:hAnsi="宋体" w:cs="宋体"/>
                <w:b/>
                <w:color w:val="000000"/>
                <w:sz w:val="20"/>
                <w:szCs w:val="20"/>
              </w:rPr>
            </w:pPr>
          </w:p>
        </w:tc>
        <w:tc>
          <w:tcPr>
            <w:tcW w:w="80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效</w:t>
            </w:r>
          </w:p>
          <w:p>
            <w:pPr>
              <w:spacing w:line="320" w:lineRule="exact"/>
              <w:jc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益</w:t>
            </w:r>
          </w:p>
          <w:p>
            <w:pPr>
              <w:spacing w:line="320" w:lineRule="exact"/>
              <w:jc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指</w:t>
            </w:r>
          </w:p>
          <w:p>
            <w:pPr>
              <w:spacing w:line="320" w:lineRule="exact"/>
              <w:jc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标</w:t>
            </w:r>
          </w:p>
          <w:p>
            <w:pPr>
              <w:spacing w:line="320" w:lineRule="exact"/>
              <w:jc w:val="center"/>
              <w:rPr>
                <w:rFonts w:ascii="宋体" w:hAnsi="宋体" w:cs="宋体"/>
                <w:color w:val="000000"/>
                <w:sz w:val="20"/>
                <w:szCs w:val="20"/>
              </w:rPr>
            </w:pPr>
            <w:r>
              <w:rPr>
                <w:rFonts w:hint="eastAsia" w:ascii="宋体" w:hAnsi="宋体" w:cs="宋体"/>
                <w:color w:val="000000"/>
                <w:kern w:val="0"/>
                <w:sz w:val="20"/>
                <w:szCs w:val="20"/>
                <w:lang w:bidi="ar"/>
              </w:rPr>
              <w:t>（30分）</w:t>
            </w:r>
          </w:p>
        </w:tc>
        <w:tc>
          <w:tcPr>
            <w:tcW w:w="1474"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textAlignment w:val="center"/>
              <w:rPr>
                <w:rFonts w:hint="eastAsia" w:eastAsia="宋体"/>
                <w:sz w:val="20"/>
                <w:szCs w:val="20"/>
                <w:lang w:eastAsia="zh-CN"/>
              </w:rPr>
            </w:pPr>
            <w:r>
              <w:rPr>
                <w:rFonts w:hint="eastAsia"/>
                <w:sz w:val="20"/>
                <w:szCs w:val="20"/>
              </w:rPr>
              <w:t>社会效益</w:t>
            </w:r>
          </w:p>
          <w:p>
            <w:pPr>
              <w:widowControl/>
              <w:spacing w:line="320" w:lineRule="exact"/>
              <w:jc w:val="center"/>
              <w:textAlignment w:val="center"/>
              <w:rPr>
                <w:rFonts w:hint="eastAsia" w:ascii="宋体" w:hAnsi="宋体" w:cs="宋体"/>
                <w:color w:val="000000"/>
                <w:kern w:val="0"/>
                <w:sz w:val="20"/>
                <w:szCs w:val="20"/>
                <w:lang w:bidi="ar"/>
              </w:rPr>
            </w:pPr>
            <w:r>
              <w:rPr>
                <w:rFonts w:hint="eastAsia"/>
                <w:sz w:val="20"/>
                <w:szCs w:val="20"/>
              </w:rPr>
              <w:t>指标</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康复达标率</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≥98%</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98%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color w:val="000000"/>
                <w:sz w:val="20"/>
                <w:szCs w:val="20"/>
              </w:rPr>
            </w:pPr>
            <w:r>
              <w:rPr>
                <w:rFonts w:hint="eastAsia"/>
                <w:color w:val="000000"/>
                <w:sz w:val="20"/>
                <w:szCs w:val="20"/>
              </w:rPr>
              <w:t>10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color w:val="000000"/>
                <w:sz w:val="20"/>
                <w:szCs w:val="20"/>
              </w:rPr>
            </w:pPr>
            <w:r>
              <w:rPr>
                <w:rFonts w:hint="eastAsia"/>
                <w:color w:val="000000"/>
                <w:sz w:val="20"/>
                <w:szCs w:val="20"/>
              </w:rPr>
              <w:t>10</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sz w:val="20"/>
                <w:szCs w:val="20"/>
              </w:rPr>
            </w:pPr>
            <w:r>
              <w:rPr>
                <w:rFonts w:hint="eastAsia"/>
                <w:sz w:val="20"/>
                <w:szCs w:val="20"/>
              </w:rPr>
              <w:t>　</w:t>
            </w:r>
          </w:p>
        </w:tc>
      </w:tr>
      <w:tr>
        <w:tblPrEx>
          <w:tblCellMar>
            <w:top w:w="15" w:type="dxa"/>
            <w:left w:w="15" w:type="dxa"/>
            <w:bottom w:w="15" w:type="dxa"/>
            <w:right w:w="15" w:type="dxa"/>
          </w:tblCellMar>
        </w:tblPrEx>
        <w:trPr>
          <w:trHeight w:val="241" w:hRule="atLeast"/>
          <w:jc w:val="center"/>
        </w:trPr>
        <w:tc>
          <w:tcPr>
            <w:tcW w:w="463" w:type="dxa"/>
            <w:vMerge w:val="continue"/>
            <w:tcBorders>
              <w:left w:val="single" w:color="000000" w:sz="4" w:space="0"/>
              <w:right w:val="single" w:color="auto" w:sz="4" w:space="0"/>
            </w:tcBorders>
            <w:noWrap w:val="0"/>
            <w:vAlign w:val="center"/>
          </w:tcPr>
          <w:p>
            <w:pPr>
              <w:spacing w:line="320" w:lineRule="exact"/>
              <w:jc w:val="center"/>
              <w:rPr>
                <w:rFonts w:ascii="宋体" w:hAnsi="宋体" w:cs="宋体"/>
                <w:b/>
                <w:color w:val="000000"/>
                <w:sz w:val="20"/>
                <w:szCs w:val="20"/>
              </w:rPr>
            </w:pPr>
          </w:p>
        </w:tc>
        <w:tc>
          <w:tcPr>
            <w:tcW w:w="80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000000"/>
                <w:sz w:val="20"/>
                <w:szCs w:val="20"/>
              </w:rPr>
            </w:pPr>
          </w:p>
        </w:tc>
        <w:tc>
          <w:tcPr>
            <w:tcW w:w="1474" w:type="dxa"/>
            <w:vMerge w:val="continue"/>
            <w:tcBorders>
              <w:left w:val="single" w:color="000000" w:sz="4" w:space="0"/>
              <w:bottom w:val="single" w:color="auto"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残疾度有明显改善</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明显改善</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明显改善</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r>
      <w:tr>
        <w:tblPrEx>
          <w:tblCellMar>
            <w:top w:w="15" w:type="dxa"/>
            <w:left w:w="15" w:type="dxa"/>
            <w:bottom w:w="15" w:type="dxa"/>
            <w:right w:w="15" w:type="dxa"/>
          </w:tblCellMar>
        </w:tblPrEx>
        <w:trPr>
          <w:trHeight w:val="20" w:hRule="atLeast"/>
          <w:jc w:val="center"/>
        </w:trPr>
        <w:tc>
          <w:tcPr>
            <w:tcW w:w="463" w:type="dxa"/>
            <w:vMerge w:val="continue"/>
            <w:tcBorders>
              <w:left w:val="single" w:color="000000" w:sz="4" w:space="0"/>
              <w:right w:val="single" w:color="auto" w:sz="4" w:space="0"/>
            </w:tcBorders>
            <w:noWrap w:val="0"/>
            <w:vAlign w:val="center"/>
          </w:tcPr>
          <w:p>
            <w:pPr>
              <w:spacing w:line="320" w:lineRule="exact"/>
              <w:jc w:val="center"/>
              <w:rPr>
                <w:rFonts w:ascii="宋体" w:hAnsi="宋体" w:cs="宋体"/>
                <w:b/>
                <w:color w:val="000000"/>
                <w:sz w:val="20"/>
                <w:szCs w:val="20"/>
              </w:rPr>
            </w:pPr>
          </w:p>
        </w:tc>
        <w:tc>
          <w:tcPr>
            <w:tcW w:w="8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s="宋体"/>
                <w:color w:val="000000"/>
                <w:kern w:val="0"/>
                <w:sz w:val="20"/>
                <w:szCs w:val="20"/>
                <w:lang w:bidi="ar"/>
              </w:rPr>
            </w:pPr>
          </w:p>
        </w:tc>
        <w:tc>
          <w:tcPr>
            <w:tcW w:w="1474" w:type="dxa"/>
            <w:tcBorders>
              <w:top w:val="single" w:color="auto" w:sz="4" w:space="0"/>
              <w:left w:val="single" w:color="000000" w:sz="4" w:space="0"/>
              <w:bottom w:val="single" w:color="auto"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0"/>
                <w:szCs w:val="20"/>
                <w:lang w:bidi="ar"/>
              </w:rPr>
            </w:pPr>
            <w:r>
              <w:rPr>
                <w:rFonts w:hint="eastAsia"/>
                <w:sz w:val="20"/>
                <w:szCs w:val="20"/>
              </w:rPr>
              <w:t>可持续影响指标</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提高残疾孤儿的生存</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提高</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提高</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color w:val="000000"/>
                <w:sz w:val="20"/>
                <w:szCs w:val="20"/>
              </w:rPr>
            </w:pPr>
            <w:r>
              <w:rPr>
                <w:rFonts w:hint="eastAsia" w:ascii="宋体" w:hAnsi="宋体" w:cs="宋体"/>
                <w:color w:val="000000"/>
                <w:sz w:val="20"/>
                <w:szCs w:val="20"/>
              </w:rPr>
              <w:t>10</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r>
              <w:rPr>
                <w:rFonts w:hint="eastAsia"/>
                <w:sz w:val="20"/>
                <w:szCs w:val="20"/>
              </w:rPr>
              <w:t>　</w:t>
            </w:r>
          </w:p>
        </w:tc>
      </w:tr>
      <w:tr>
        <w:tblPrEx>
          <w:tblCellMar>
            <w:top w:w="15" w:type="dxa"/>
            <w:left w:w="15" w:type="dxa"/>
            <w:bottom w:w="15" w:type="dxa"/>
            <w:right w:w="15" w:type="dxa"/>
          </w:tblCellMar>
        </w:tblPrEx>
        <w:trPr>
          <w:trHeight w:val="20" w:hRule="atLeast"/>
          <w:jc w:val="center"/>
        </w:trPr>
        <w:tc>
          <w:tcPr>
            <w:tcW w:w="463"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804" w:type="dxa"/>
            <w:vMerge w:val="restart"/>
            <w:tcBorders>
              <w:top w:val="single" w:color="auto" w:sz="4" w:space="0"/>
              <w:left w:val="single" w:color="000000" w:sz="4" w:space="0"/>
              <w:bottom w:val="single" w:color="auto" w:sz="4" w:space="0"/>
              <w:right w:val="single" w:color="000000" w:sz="4" w:space="0"/>
            </w:tcBorders>
            <w:noWrap w:val="0"/>
            <w:vAlign w:val="center"/>
          </w:tcPr>
          <w:p>
            <w:pPr>
              <w:spacing w:line="320" w:lineRule="exact"/>
              <w:jc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满意度</w:t>
            </w:r>
          </w:p>
          <w:p>
            <w:pPr>
              <w:spacing w:line="320" w:lineRule="exact"/>
              <w:jc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指标</w:t>
            </w:r>
          </w:p>
          <w:p>
            <w:pPr>
              <w:spacing w:line="320" w:lineRule="exact"/>
              <w:jc w:val="center"/>
              <w:rPr>
                <w:rFonts w:ascii="宋体" w:hAnsi="宋体" w:cs="宋体"/>
                <w:color w:val="000000"/>
                <w:sz w:val="20"/>
                <w:szCs w:val="20"/>
              </w:rPr>
            </w:pPr>
            <w:r>
              <w:rPr>
                <w:rFonts w:hint="eastAsia" w:ascii="宋体" w:hAnsi="宋体" w:cs="宋体"/>
                <w:color w:val="000000"/>
                <w:kern w:val="0"/>
                <w:sz w:val="20"/>
                <w:szCs w:val="20"/>
                <w:lang w:bidi="ar"/>
              </w:rPr>
              <w:t>（10分）</w:t>
            </w:r>
          </w:p>
        </w:tc>
        <w:tc>
          <w:tcPr>
            <w:tcW w:w="1474" w:type="dxa"/>
            <w:vMerge w:val="restart"/>
            <w:tcBorders>
              <w:top w:val="single" w:color="auto" w:sz="4" w:space="0"/>
              <w:left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kern w:val="0"/>
                <w:sz w:val="20"/>
                <w:szCs w:val="20"/>
                <w:lang w:bidi="ar"/>
              </w:rPr>
            </w:pPr>
            <w:r>
              <w:rPr>
                <w:rFonts w:hint="eastAsia"/>
                <w:sz w:val="20"/>
                <w:szCs w:val="20"/>
              </w:rPr>
              <w:t>服务对象满意度指标</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孤残儿童的满意度</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2"/>
                <w:szCs w:val="22"/>
                <w:lang w:bidi="ar"/>
              </w:rPr>
              <w:t>≥98%</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2"/>
                <w:szCs w:val="22"/>
                <w:lang w:bidi="ar"/>
              </w:rPr>
              <w:t>98%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color w:val="000000"/>
                <w:sz w:val="20"/>
                <w:szCs w:val="20"/>
              </w:rPr>
            </w:pPr>
            <w:r>
              <w:rPr>
                <w:rFonts w:hint="eastAsia"/>
                <w:color w:val="000000"/>
                <w:sz w:val="20"/>
                <w:szCs w:val="20"/>
              </w:rPr>
              <w:t>5</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color w:val="000000"/>
                <w:sz w:val="20"/>
                <w:szCs w:val="20"/>
              </w:rPr>
            </w:pPr>
            <w:r>
              <w:rPr>
                <w:rFonts w:hint="eastAsia"/>
                <w:color w:val="000000"/>
                <w:sz w:val="20"/>
                <w:szCs w:val="20"/>
              </w:rPr>
              <w:t>5</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sz w:val="20"/>
                <w:szCs w:val="20"/>
              </w:rPr>
            </w:pPr>
            <w:r>
              <w:rPr>
                <w:rFonts w:hint="eastAsia"/>
                <w:sz w:val="20"/>
                <w:szCs w:val="20"/>
              </w:rPr>
              <w:t>　</w:t>
            </w:r>
          </w:p>
        </w:tc>
      </w:tr>
      <w:tr>
        <w:tblPrEx>
          <w:tblCellMar>
            <w:top w:w="15" w:type="dxa"/>
            <w:left w:w="15" w:type="dxa"/>
            <w:bottom w:w="15" w:type="dxa"/>
            <w:right w:w="15" w:type="dxa"/>
          </w:tblCellMar>
        </w:tblPrEx>
        <w:trPr>
          <w:trHeight w:val="20" w:hRule="atLeast"/>
          <w:jc w:val="center"/>
        </w:trPr>
        <w:tc>
          <w:tcPr>
            <w:tcW w:w="463"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b/>
                <w:color w:val="000000"/>
                <w:sz w:val="20"/>
                <w:szCs w:val="20"/>
              </w:rPr>
            </w:pPr>
          </w:p>
        </w:tc>
        <w:tc>
          <w:tcPr>
            <w:tcW w:w="804"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20" w:lineRule="exact"/>
              <w:jc w:val="center"/>
              <w:rPr>
                <w:rFonts w:ascii="宋体" w:hAnsi="宋体" w:cs="宋体"/>
                <w:color w:val="000000"/>
                <w:sz w:val="20"/>
                <w:szCs w:val="20"/>
              </w:rPr>
            </w:pPr>
          </w:p>
        </w:tc>
        <w:tc>
          <w:tcPr>
            <w:tcW w:w="1474" w:type="dxa"/>
            <w:vMerge w:val="continue"/>
            <w:tcBorders>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职工及康复师的满意度</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2"/>
                <w:szCs w:val="22"/>
                <w:lang w:bidi="ar"/>
              </w:rPr>
              <w:t>≥98%</w:t>
            </w:r>
          </w:p>
        </w:tc>
        <w:tc>
          <w:tcPr>
            <w:tcW w:w="1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2"/>
                <w:szCs w:val="22"/>
                <w:lang w:bidi="ar"/>
              </w:rPr>
              <w:t>98%</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5</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宋体" w:hAnsi="宋体" w:cs="宋体"/>
                <w:color w:val="000000"/>
                <w:sz w:val="20"/>
                <w:szCs w:val="20"/>
              </w:rPr>
            </w:pPr>
            <w:r>
              <w:rPr>
                <w:rFonts w:hint="eastAsia" w:ascii="宋体" w:hAnsi="宋体" w:cs="宋体"/>
                <w:color w:val="000000"/>
                <w:sz w:val="20"/>
                <w:szCs w:val="20"/>
              </w:rPr>
              <w:t>5</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宋体" w:hAnsi="宋体" w:cs="宋体"/>
                <w:color w:val="000000"/>
                <w:sz w:val="20"/>
                <w:szCs w:val="20"/>
              </w:rPr>
            </w:pPr>
          </w:p>
        </w:tc>
      </w:tr>
      <w:tr>
        <w:tblPrEx>
          <w:tblCellMar>
            <w:top w:w="15" w:type="dxa"/>
            <w:left w:w="15" w:type="dxa"/>
            <w:bottom w:w="15" w:type="dxa"/>
            <w:right w:w="15" w:type="dxa"/>
          </w:tblCellMar>
        </w:tblPrEx>
        <w:trPr>
          <w:trHeight w:val="20" w:hRule="atLeast"/>
          <w:jc w:val="center"/>
        </w:trPr>
        <w:tc>
          <w:tcPr>
            <w:tcW w:w="12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总分</w:t>
            </w:r>
          </w:p>
        </w:tc>
        <w:tc>
          <w:tcPr>
            <w:tcW w:w="9258"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宋体" w:hAnsi="宋体" w:cs="宋体"/>
                <w:b/>
                <w:color w:val="000000"/>
                <w:sz w:val="20"/>
                <w:szCs w:val="20"/>
              </w:rPr>
            </w:pPr>
            <w:r>
              <w:rPr>
                <w:rFonts w:hint="eastAsia" w:ascii="仿宋_GB2312" w:hAnsi="宋体" w:eastAsia="仿宋_GB2312" w:cs="仿宋_GB2312"/>
                <w:color w:val="000000"/>
                <w:sz w:val="22"/>
                <w:szCs w:val="22"/>
              </w:rPr>
              <w:t>99.21</w:t>
            </w:r>
          </w:p>
        </w:tc>
      </w:tr>
    </w:tbl>
    <w:p>
      <w:pPr>
        <w:spacing w:line="320" w:lineRule="exact"/>
        <w:rPr>
          <w:rFonts w:hint="eastAsia"/>
        </w:rPr>
      </w:pPr>
    </w:p>
    <w:p>
      <w:pPr>
        <w:spacing w:line="320" w:lineRule="exact"/>
      </w:pPr>
    </w:p>
    <w:p>
      <w:pPr>
        <w:spacing w:line="320" w:lineRule="exact"/>
      </w:pPr>
    </w:p>
    <w:sectPr>
      <w:pgSz w:w="11906" w:h="16838"/>
      <w:pgMar w:top="1701" w:right="1531" w:bottom="1701" w:left="1531" w:header="0" w:footer="1418" w:gutter="0"/>
      <w:pgNumType w:fmt="numberInDash"/>
      <w:cols w:space="720" w:num="1"/>
      <w:docGrid w:type="linesAndChars" w:linePitch="61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22"/>
        <w:tab w:val="clear" w:pos="4153"/>
      </w:tabs>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- 34 -</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- 34 -</w:t>
                    </w:r>
                    <w: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026A6"/>
    <w:multiLevelType w:val="singleLevel"/>
    <w:tmpl w:val="3E7026A6"/>
    <w:lvl w:ilvl="0" w:tentative="0">
      <w:start w:val="1"/>
      <w:numFmt w:val="chineseCounting"/>
      <w:suff w:val="nothing"/>
      <w:lvlText w:val="（%1）"/>
      <w:lvlJc w:val="left"/>
      <w:rPr>
        <w:rFonts w:hint="eastAsia"/>
      </w:rPr>
    </w:lvl>
  </w:abstractNum>
  <w:abstractNum w:abstractNumId="1">
    <w:nsid w:val="4379DD20"/>
    <w:multiLevelType w:val="singleLevel"/>
    <w:tmpl w:val="4379DD20"/>
    <w:lvl w:ilvl="0" w:tentative="0">
      <w:start w:val="1"/>
      <w:numFmt w:val="chineseCounting"/>
      <w:suff w:val="nothing"/>
      <w:lvlText w:val="（%1）"/>
      <w:lvlJc w:val="left"/>
      <w:rPr>
        <w:rFonts w:hint="eastAsia"/>
      </w:rPr>
    </w:lvl>
  </w:abstractNum>
  <w:abstractNum w:abstractNumId="2">
    <w:nsid w:val="6AAEE2E6"/>
    <w:multiLevelType w:val="singleLevel"/>
    <w:tmpl w:val="6AAEE2E6"/>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displayBackgroundShape w:val="1"/>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305"/>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M2NkMTQyMTA2Mzg5YTQ4N2NhZGIyNzQ0ZTc2MGMifQ=="/>
  </w:docVars>
  <w:rsids>
    <w:rsidRoot w:val="00172A27"/>
    <w:rsid w:val="0000396E"/>
    <w:rsid w:val="00004023"/>
    <w:rsid w:val="000043FF"/>
    <w:rsid w:val="00004443"/>
    <w:rsid w:val="000051C9"/>
    <w:rsid w:val="000054CC"/>
    <w:rsid w:val="00010EE4"/>
    <w:rsid w:val="00011A23"/>
    <w:rsid w:val="00011E23"/>
    <w:rsid w:val="0001550E"/>
    <w:rsid w:val="000254F5"/>
    <w:rsid w:val="00025F7E"/>
    <w:rsid w:val="00026CA6"/>
    <w:rsid w:val="0002779D"/>
    <w:rsid w:val="000316F7"/>
    <w:rsid w:val="000327A9"/>
    <w:rsid w:val="00032920"/>
    <w:rsid w:val="00032DE5"/>
    <w:rsid w:val="00033B94"/>
    <w:rsid w:val="00036864"/>
    <w:rsid w:val="000368A1"/>
    <w:rsid w:val="00037DDA"/>
    <w:rsid w:val="0004120A"/>
    <w:rsid w:val="00042165"/>
    <w:rsid w:val="0004356C"/>
    <w:rsid w:val="00050C15"/>
    <w:rsid w:val="00050D25"/>
    <w:rsid w:val="00052EFB"/>
    <w:rsid w:val="00053AB6"/>
    <w:rsid w:val="00054331"/>
    <w:rsid w:val="00056332"/>
    <w:rsid w:val="00057D13"/>
    <w:rsid w:val="000614FD"/>
    <w:rsid w:val="00066B73"/>
    <w:rsid w:val="00070BA0"/>
    <w:rsid w:val="000716A4"/>
    <w:rsid w:val="00071966"/>
    <w:rsid w:val="00072995"/>
    <w:rsid w:val="00073B4C"/>
    <w:rsid w:val="000820E1"/>
    <w:rsid w:val="0008333B"/>
    <w:rsid w:val="00083BFB"/>
    <w:rsid w:val="00084F74"/>
    <w:rsid w:val="00086A39"/>
    <w:rsid w:val="00086E32"/>
    <w:rsid w:val="000875CD"/>
    <w:rsid w:val="00087CBE"/>
    <w:rsid w:val="00093717"/>
    <w:rsid w:val="00094090"/>
    <w:rsid w:val="00094E76"/>
    <w:rsid w:val="000950AD"/>
    <w:rsid w:val="00095C8B"/>
    <w:rsid w:val="0009684C"/>
    <w:rsid w:val="00096D61"/>
    <w:rsid w:val="000A3571"/>
    <w:rsid w:val="000A4003"/>
    <w:rsid w:val="000B216D"/>
    <w:rsid w:val="000B2A1D"/>
    <w:rsid w:val="000B2A5D"/>
    <w:rsid w:val="000B329E"/>
    <w:rsid w:val="000B4533"/>
    <w:rsid w:val="000B4873"/>
    <w:rsid w:val="000B62E0"/>
    <w:rsid w:val="000B7BEE"/>
    <w:rsid w:val="000C3FFF"/>
    <w:rsid w:val="000D0629"/>
    <w:rsid w:val="000D1248"/>
    <w:rsid w:val="000D2AEF"/>
    <w:rsid w:val="000D5A5F"/>
    <w:rsid w:val="000E3FFA"/>
    <w:rsid w:val="000E4218"/>
    <w:rsid w:val="000F0028"/>
    <w:rsid w:val="000F14FD"/>
    <w:rsid w:val="000F20AA"/>
    <w:rsid w:val="000F40F1"/>
    <w:rsid w:val="000F797A"/>
    <w:rsid w:val="0010076A"/>
    <w:rsid w:val="001068B7"/>
    <w:rsid w:val="00110FFF"/>
    <w:rsid w:val="001127C5"/>
    <w:rsid w:val="001130A1"/>
    <w:rsid w:val="00113BC1"/>
    <w:rsid w:val="0011406B"/>
    <w:rsid w:val="00114A8B"/>
    <w:rsid w:val="00123414"/>
    <w:rsid w:val="00124656"/>
    <w:rsid w:val="0012551C"/>
    <w:rsid w:val="00130C3A"/>
    <w:rsid w:val="001319FA"/>
    <w:rsid w:val="00131F72"/>
    <w:rsid w:val="00135941"/>
    <w:rsid w:val="00137B81"/>
    <w:rsid w:val="0014113E"/>
    <w:rsid w:val="00143028"/>
    <w:rsid w:val="00143419"/>
    <w:rsid w:val="001447E6"/>
    <w:rsid w:val="00144960"/>
    <w:rsid w:val="00146927"/>
    <w:rsid w:val="00154B29"/>
    <w:rsid w:val="00155EA3"/>
    <w:rsid w:val="00156430"/>
    <w:rsid w:val="001609DF"/>
    <w:rsid w:val="00161E2F"/>
    <w:rsid w:val="0016333C"/>
    <w:rsid w:val="00163840"/>
    <w:rsid w:val="0016566D"/>
    <w:rsid w:val="0016752D"/>
    <w:rsid w:val="00167D8B"/>
    <w:rsid w:val="00167D92"/>
    <w:rsid w:val="00173622"/>
    <w:rsid w:val="001744FD"/>
    <w:rsid w:val="001756EB"/>
    <w:rsid w:val="001779FA"/>
    <w:rsid w:val="001806E9"/>
    <w:rsid w:val="00181F9E"/>
    <w:rsid w:val="00182B84"/>
    <w:rsid w:val="00182E3E"/>
    <w:rsid w:val="001868C0"/>
    <w:rsid w:val="00186DC9"/>
    <w:rsid w:val="00191D94"/>
    <w:rsid w:val="001926FA"/>
    <w:rsid w:val="001928F4"/>
    <w:rsid w:val="00192C75"/>
    <w:rsid w:val="00192DBA"/>
    <w:rsid w:val="00194A8A"/>
    <w:rsid w:val="00196387"/>
    <w:rsid w:val="00196B03"/>
    <w:rsid w:val="001A0D7C"/>
    <w:rsid w:val="001A3116"/>
    <w:rsid w:val="001B1D17"/>
    <w:rsid w:val="001B2B8E"/>
    <w:rsid w:val="001C02A8"/>
    <w:rsid w:val="001C06F6"/>
    <w:rsid w:val="001C1F7C"/>
    <w:rsid w:val="001C5232"/>
    <w:rsid w:val="001D6B45"/>
    <w:rsid w:val="001D772B"/>
    <w:rsid w:val="001D791B"/>
    <w:rsid w:val="001E1804"/>
    <w:rsid w:val="001E1CB0"/>
    <w:rsid w:val="001E5194"/>
    <w:rsid w:val="001E524F"/>
    <w:rsid w:val="001E6D89"/>
    <w:rsid w:val="001E781F"/>
    <w:rsid w:val="001F226D"/>
    <w:rsid w:val="001F3816"/>
    <w:rsid w:val="001F6487"/>
    <w:rsid w:val="001F674C"/>
    <w:rsid w:val="001F6A36"/>
    <w:rsid w:val="00200FFD"/>
    <w:rsid w:val="0020145C"/>
    <w:rsid w:val="0020577D"/>
    <w:rsid w:val="002079A3"/>
    <w:rsid w:val="00210081"/>
    <w:rsid w:val="00211220"/>
    <w:rsid w:val="00213166"/>
    <w:rsid w:val="002153BC"/>
    <w:rsid w:val="00216FF8"/>
    <w:rsid w:val="002178AA"/>
    <w:rsid w:val="00220024"/>
    <w:rsid w:val="00220711"/>
    <w:rsid w:val="00220DCC"/>
    <w:rsid w:val="00221B90"/>
    <w:rsid w:val="00222033"/>
    <w:rsid w:val="00223B1E"/>
    <w:rsid w:val="002241A2"/>
    <w:rsid w:val="002247C1"/>
    <w:rsid w:val="002258A6"/>
    <w:rsid w:val="002264BC"/>
    <w:rsid w:val="00227A86"/>
    <w:rsid w:val="00232DA0"/>
    <w:rsid w:val="00233412"/>
    <w:rsid w:val="002338C6"/>
    <w:rsid w:val="002356DB"/>
    <w:rsid w:val="00237324"/>
    <w:rsid w:val="00240075"/>
    <w:rsid w:val="002445E3"/>
    <w:rsid w:val="002448F9"/>
    <w:rsid w:val="0024752A"/>
    <w:rsid w:val="002506F5"/>
    <w:rsid w:val="00251E4A"/>
    <w:rsid w:val="002531F5"/>
    <w:rsid w:val="00254B3E"/>
    <w:rsid w:val="00254C53"/>
    <w:rsid w:val="0025593F"/>
    <w:rsid w:val="0026316A"/>
    <w:rsid w:val="00265320"/>
    <w:rsid w:val="00272225"/>
    <w:rsid w:val="00272E81"/>
    <w:rsid w:val="00273B75"/>
    <w:rsid w:val="00273E2B"/>
    <w:rsid w:val="00274377"/>
    <w:rsid w:val="002768D1"/>
    <w:rsid w:val="00276D96"/>
    <w:rsid w:val="00280994"/>
    <w:rsid w:val="00280FDB"/>
    <w:rsid w:val="00281303"/>
    <w:rsid w:val="00281732"/>
    <w:rsid w:val="0028239F"/>
    <w:rsid w:val="00284D4C"/>
    <w:rsid w:val="00284E99"/>
    <w:rsid w:val="0028511A"/>
    <w:rsid w:val="002860C3"/>
    <w:rsid w:val="00292478"/>
    <w:rsid w:val="0029471D"/>
    <w:rsid w:val="002963ED"/>
    <w:rsid w:val="002A16FB"/>
    <w:rsid w:val="002A1EA4"/>
    <w:rsid w:val="002A231D"/>
    <w:rsid w:val="002A259B"/>
    <w:rsid w:val="002A62A3"/>
    <w:rsid w:val="002A7A53"/>
    <w:rsid w:val="002B2A69"/>
    <w:rsid w:val="002B2CD0"/>
    <w:rsid w:val="002B364D"/>
    <w:rsid w:val="002B6D96"/>
    <w:rsid w:val="002C2837"/>
    <w:rsid w:val="002C474C"/>
    <w:rsid w:val="002C6723"/>
    <w:rsid w:val="002D15CA"/>
    <w:rsid w:val="002D2695"/>
    <w:rsid w:val="002E3720"/>
    <w:rsid w:val="002E37F1"/>
    <w:rsid w:val="002E529A"/>
    <w:rsid w:val="002E61FA"/>
    <w:rsid w:val="002F2F44"/>
    <w:rsid w:val="002F3B50"/>
    <w:rsid w:val="002F565C"/>
    <w:rsid w:val="002F63E3"/>
    <w:rsid w:val="002F764D"/>
    <w:rsid w:val="003003D1"/>
    <w:rsid w:val="00302DF7"/>
    <w:rsid w:val="00303490"/>
    <w:rsid w:val="003060BB"/>
    <w:rsid w:val="003109E8"/>
    <w:rsid w:val="00310D43"/>
    <w:rsid w:val="00310EE2"/>
    <w:rsid w:val="00313828"/>
    <w:rsid w:val="00316546"/>
    <w:rsid w:val="00322777"/>
    <w:rsid w:val="00326F7A"/>
    <w:rsid w:val="00327F0B"/>
    <w:rsid w:val="003322F3"/>
    <w:rsid w:val="003335C5"/>
    <w:rsid w:val="00334FDD"/>
    <w:rsid w:val="00337245"/>
    <w:rsid w:val="0033792D"/>
    <w:rsid w:val="003403C8"/>
    <w:rsid w:val="003403FC"/>
    <w:rsid w:val="0034359F"/>
    <w:rsid w:val="003462C7"/>
    <w:rsid w:val="0034631F"/>
    <w:rsid w:val="00346BA6"/>
    <w:rsid w:val="00347EF3"/>
    <w:rsid w:val="00347F03"/>
    <w:rsid w:val="00350689"/>
    <w:rsid w:val="00350862"/>
    <w:rsid w:val="00350B68"/>
    <w:rsid w:val="003542B6"/>
    <w:rsid w:val="00356CBE"/>
    <w:rsid w:val="00357344"/>
    <w:rsid w:val="003577CB"/>
    <w:rsid w:val="00357815"/>
    <w:rsid w:val="0035782C"/>
    <w:rsid w:val="003578AA"/>
    <w:rsid w:val="0036295C"/>
    <w:rsid w:val="003655D7"/>
    <w:rsid w:val="00371CC6"/>
    <w:rsid w:val="00374C3A"/>
    <w:rsid w:val="00377F07"/>
    <w:rsid w:val="003867E9"/>
    <w:rsid w:val="003868BA"/>
    <w:rsid w:val="003906DD"/>
    <w:rsid w:val="00392E4C"/>
    <w:rsid w:val="00394C25"/>
    <w:rsid w:val="00396433"/>
    <w:rsid w:val="003A3189"/>
    <w:rsid w:val="003A49C2"/>
    <w:rsid w:val="003A547D"/>
    <w:rsid w:val="003B1547"/>
    <w:rsid w:val="003B31CE"/>
    <w:rsid w:val="003B4648"/>
    <w:rsid w:val="003B47B9"/>
    <w:rsid w:val="003B527E"/>
    <w:rsid w:val="003B55A7"/>
    <w:rsid w:val="003B57F4"/>
    <w:rsid w:val="003B758D"/>
    <w:rsid w:val="003B7662"/>
    <w:rsid w:val="003B7EAD"/>
    <w:rsid w:val="003C1BDE"/>
    <w:rsid w:val="003C21A0"/>
    <w:rsid w:val="003C3553"/>
    <w:rsid w:val="003C37AC"/>
    <w:rsid w:val="003C6790"/>
    <w:rsid w:val="003C7AD0"/>
    <w:rsid w:val="003D0215"/>
    <w:rsid w:val="003D05B7"/>
    <w:rsid w:val="003D1459"/>
    <w:rsid w:val="003D515C"/>
    <w:rsid w:val="003D6BBF"/>
    <w:rsid w:val="003D7542"/>
    <w:rsid w:val="003E3A3D"/>
    <w:rsid w:val="003E4AAF"/>
    <w:rsid w:val="003E6CE5"/>
    <w:rsid w:val="003F228F"/>
    <w:rsid w:val="003F27FF"/>
    <w:rsid w:val="003F29E4"/>
    <w:rsid w:val="003F2F93"/>
    <w:rsid w:val="003F4B1C"/>
    <w:rsid w:val="003F6190"/>
    <w:rsid w:val="003F6474"/>
    <w:rsid w:val="004002DB"/>
    <w:rsid w:val="00401597"/>
    <w:rsid w:val="00405479"/>
    <w:rsid w:val="004057DF"/>
    <w:rsid w:val="00405F7F"/>
    <w:rsid w:val="00407499"/>
    <w:rsid w:val="00407B7F"/>
    <w:rsid w:val="0041442B"/>
    <w:rsid w:val="00416766"/>
    <w:rsid w:val="00417FD0"/>
    <w:rsid w:val="00420DA6"/>
    <w:rsid w:val="0042189C"/>
    <w:rsid w:val="00424863"/>
    <w:rsid w:val="004259B8"/>
    <w:rsid w:val="004264D7"/>
    <w:rsid w:val="00426E2C"/>
    <w:rsid w:val="00431921"/>
    <w:rsid w:val="004328B8"/>
    <w:rsid w:val="00434A28"/>
    <w:rsid w:val="004411DC"/>
    <w:rsid w:val="00441892"/>
    <w:rsid w:val="00441E04"/>
    <w:rsid w:val="004469C7"/>
    <w:rsid w:val="00447483"/>
    <w:rsid w:val="00447A98"/>
    <w:rsid w:val="004520E4"/>
    <w:rsid w:val="0045295F"/>
    <w:rsid w:val="004603F4"/>
    <w:rsid w:val="00461625"/>
    <w:rsid w:val="00465029"/>
    <w:rsid w:val="00467CB1"/>
    <w:rsid w:val="00470DF5"/>
    <w:rsid w:val="004742C3"/>
    <w:rsid w:val="00474FEA"/>
    <w:rsid w:val="00475D3C"/>
    <w:rsid w:val="00475E3F"/>
    <w:rsid w:val="00486839"/>
    <w:rsid w:val="00491ECE"/>
    <w:rsid w:val="004937DB"/>
    <w:rsid w:val="00493B6B"/>
    <w:rsid w:val="00494878"/>
    <w:rsid w:val="004A06E6"/>
    <w:rsid w:val="004A1F17"/>
    <w:rsid w:val="004A34B2"/>
    <w:rsid w:val="004A3C2B"/>
    <w:rsid w:val="004B0231"/>
    <w:rsid w:val="004B1369"/>
    <w:rsid w:val="004B22CE"/>
    <w:rsid w:val="004B3580"/>
    <w:rsid w:val="004B4DB9"/>
    <w:rsid w:val="004B69D1"/>
    <w:rsid w:val="004B78A6"/>
    <w:rsid w:val="004B7EA8"/>
    <w:rsid w:val="004C09C5"/>
    <w:rsid w:val="004C1DFB"/>
    <w:rsid w:val="004C635A"/>
    <w:rsid w:val="004C714C"/>
    <w:rsid w:val="004D0ECD"/>
    <w:rsid w:val="004D775B"/>
    <w:rsid w:val="004E016C"/>
    <w:rsid w:val="004E2002"/>
    <w:rsid w:val="004E2573"/>
    <w:rsid w:val="004E2F34"/>
    <w:rsid w:val="004E3EE4"/>
    <w:rsid w:val="004E417B"/>
    <w:rsid w:val="004E4949"/>
    <w:rsid w:val="004E6055"/>
    <w:rsid w:val="004E6E42"/>
    <w:rsid w:val="004F020F"/>
    <w:rsid w:val="004F1BE2"/>
    <w:rsid w:val="004F2EC8"/>
    <w:rsid w:val="004F5755"/>
    <w:rsid w:val="004F614C"/>
    <w:rsid w:val="00501856"/>
    <w:rsid w:val="00501A4E"/>
    <w:rsid w:val="00503587"/>
    <w:rsid w:val="0050370E"/>
    <w:rsid w:val="00503CA4"/>
    <w:rsid w:val="005043E7"/>
    <w:rsid w:val="005052E8"/>
    <w:rsid w:val="00505CE2"/>
    <w:rsid w:val="00512AC4"/>
    <w:rsid w:val="005131A4"/>
    <w:rsid w:val="00513DCC"/>
    <w:rsid w:val="005166E1"/>
    <w:rsid w:val="00520AA8"/>
    <w:rsid w:val="00520F1F"/>
    <w:rsid w:val="00521751"/>
    <w:rsid w:val="00521C25"/>
    <w:rsid w:val="005222FB"/>
    <w:rsid w:val="00522784"/>
    <w:rsid w:val="0052396D"/>
    <w:rsid w:val="00523A46"/>
    <w:rsid w:val="00525DA1"/>
    <w:rsid w:val="00527A51"/>
    <w:rsid w:val="0053025B"/>
    <w:rsid w:val="00531719"/>
    <w:rsid w:val="0053232B"/>
    <w:rsid w:val="005346CC"/>
    <w:rsid w:val="005356D2"/>
    <w:rsid w:val="005401D2"/>
    <w:rsid w:val="00540AD6"/>
    <w:rsid w:val="00542F2B"/>
    <w:rsid w:val="00543C8E"/>
    <w:rsid w:val="00543DAD"/>
    <w:rsid w:val="00544B76"/>
    <w:rsid w:val="00545D5D"/>
    <w:rsid w:val="0054719B"/>
    <w:rsid w:val="005503A4"/>
    <w:rsid w:val="00552606"/>
    <w:rsid w:val="00553951"/>
    <w:rsid w:val="00556E9E"/>
    <w:rsid w:val="00560134"/>
    <w:rsid w:val="005639DA"/>
    <w:rsid w:val="00564ACD"/>
    <w:rsid w:val="0056671C"/>
    <w:rsid w:val="00567B1C"/>
    <w:rsid w:val="005739EF"/>
    <w:rsid w:val="00580CBD"/>
    <w:rsid w:val="0058210F"/>
    <w:rsid w:val="0058268B"/>
    <w:rsid w:val="00584052"/>
    <w:rsid w:val="0058617C"/>
    <w:rsid w:val="0058657E"/>
    <w:rsid w:val="005865DD"/>
    <w:rsid w:val="00591C85"/>
    <w:rsid w:val="00592DDD"/>
    <w:rsid w:val="00596B4F"/>
    <w:rsid w:val="00597158"/>
    <w:rsid w:val="005A3C5A"/>
    <w:rsid w:val="005A646E"/>
    <w:rsid w:val="005B0576"/>
    <w:rsid w:val="005B17D3"/>
    <w:rsid w:val="005C0170"/>
    <w:rsid w:val="005C0E7C"/>
    <w:rsid w:val="005C213A"/>
    <w:rsid w:val="005C3417"/>
    <w:rsid w:val="005C44CB"/>
    <w:rsid w:val="005C5ECB"/>
    <w:rsid w:val="005C7AE7"/>
    <w:rsid w:val="005D1F85"/>
    <w:rsid w:val="005D31ED"/>
    <w:rsid w:val="005D34CC"/>
    <w:rsid w:val="005D5091"/>
    <w:rsid w:val="005E0229"/>
    <w:rsid w:val="005E06F3"/>
    <w:rsid w:val="005E1E31"/>
    <w:rsid w:val="005E25DB"/>
    <w:rsid w:val="005E4E40"/>
    <w:rsid w:val="005E50CC"/>
    <w:rsid w:val="005E7199"/>
    <w:rsid w:val="005F4A92"/>
    <w:rsid w:val="005F500E"/>
    <w:rsid w:val="005F7545"/>
    <w:rsid w:val="006001DA"/>
    <w:rsid w:val="00601EBB"/>
    <w:rsid w:val="0060206B"/>
    <w:rsid w:val="00602B37"/>
    <w:rsid w:val="00602F17"/>
    <w:rsid w:val="00604699"/>
    <w:rsid w:val="00605279"/>
    <w:rsid w:val="00605BA3"/>
    <w:rsid w:val="006102A5"/>
    <w:rsid w:val="00611F52"/>
    <w:rsid w:val="006139B9"/>
    <w:rsid w:val="00614813"/>
    <w:rsid w:val="00616428"/>
    <w:rsid w:val="00620F68"/>
    <w:rsid w:val="006211FA"/>
    <w:rsid w:val="0062225D"/>
    <w:rsid w:val="006230B1"/>
    <w:rsid w:val="0062313A"/>
    <w:rsid w:val="00624998"/>
    <w:rsid w:val="00625941"/>
    <w:rsid w:val="00625F11"/>
    <w:rsid w:val="00625F8F"/>
    <w:rsid w:val="00632CFA"/>
    <w:rsid w:val="00633170"/>
    <w:rsid w:val="0063419C"/>
    <w:rsid w:val="0063614F"/>
    <w:rsid w:val="00641C19"/>
    <w:rsid w:val="00641C3D"/>
    <w:rsid w:val="00641FE3"/>
    <w:rsid w:val="0064252C"/>
    <w:rsid w:val="006444A5"/>
    <w:rsid w:val="00644F1C"/>
    <w:rsid w:val="006477BC"/>
    <w:rsid w:val="006501F5"/>
    <w:rsid w:val="006506D9"/>
    <w:rsid w:val="006514A9"/>
    <w:rsid w:val="00652DDE"/>
    <w:rsid w:val="006540D1"/>
    <w:rsid w:val="0065578E"/>
    <w:rsid w:val="00660208"/>
    <w:rsid w:val="006628E6"/>
    <w:rsid w:val="006639E4"/>
    <w:rsid w:val="0066642A"/>
    <w:rsid w:val="00670BF9"/>
    <w:rsid w:val="00671DF1"/>
    <w:rsid w:val="006723A3"/>
    <w:rsid w:val="00672D37"/>
    <w:rsid w:val="0067331A"/>
    <w:rsid w:val="00674143"/>
    <w:rsid w:val="0067469F"/>
    <w:rsid w:val="006757F9"/>
    <w:rsid w:val="00675A6F"/>
    <w:rsid w:val="0068181E"/>
    <w:rsid w:val="006835C0"/>
    <w:rsid w:val="00683AAF"/>
    <w:rsid w:val="00684D7F"/>
    <w:rsid w:val="006859DC"/>
    <w:rsid w:val="006867FD"/>
    <w:rsid w:val="00687FB4"/>
    <w:rsid w:val="00695419"/>
    <w:rsid w:val="00696268"/>
    <w:rsid w:val="006973F4"/>
    <w:rsid w:val="00697514"/>
    <w:rsid w:val="006A00A5"/>
    <w:rsid w:val="006A1216"/>
    <w:rsid w:val="006A465A"/>
    <w:rsid w:val="006B0349"/>
    <w:rsid w:val="006B14BF"/>
    <w:rsid w:val="006B167C"/>
    <w:rsid w:val="006B278D"/>
    <w:rsid w:val="006B677B"/>
    <w:rsid w:val="006B74CA"/>
    <w:rsid w:val="006C0618"/>
    <w:rsid w:val="006C1B4D"/>
    <w:rsid w:val="006C45D7"/>
    <w:rsid w:val="006C4E58"/>
    <w:rsid w:val="006D0684"/>
    <w:rsid w:val="006D0F89"/>
    <w:rsid w:val="006D2189"/>
    <w:rsid w:val="006D3B48"/>
    <w:rsid w:val="006D3F18"/>
    <w:rsid w:val="006D5115"/>
    <w:rsid w:val="006D5B76"/>
    <w:rsid w:val="006D5E6E"/>
    <w:rsid w:val="006D639E"/>
    <w:rsid w:val="006D6847"/>
    <w:rsid w:val="006E05D2"/>
    <w:rsid w:val="006E0D7C"/>
    <w:rsid w:val="006E1036"/>
    <w:rsid w:val="006E35B2"/>
    <w:rsid w:val="006E45CF"/>
    <w:rsid w:val="006E4C73"/>
    <w:rsid w:val="006E6165"/>
    <w:rsid w:val="006E6380"/>
    <w:rsid w:val="006E7945"/>
    <w:rsid w:val="006F3277"/>
    <w:rsid w:val="006F3700"/>
    <w:rsid w:val="006F4F2B"/>
    <w:rsid w:val="006F51DA"/>
    <w:rsid w:val="006F5DA7"/>
    <w:rsid w:val="006F7EC2"/>
    <w:rsid w:val="00701FB4"/>
    <w:rsid w:val="007020BA"/>
    <w:rsid w:val="00704939"/>
    <w:rsid w:val="00707690"/>
    <w:rsid w:val="00710962"/>
    <w:rsid w:val="00710DA3"/>
    <w:rsid w:val="00710F28"/>
    <w:rsid w:val="00712699"/>
    <w:rsid w:val="007138A9"/>
    <w:rsid w:val="00714A95"/>
    <w:rsid w:val="00715FD7"/>
    <w:rsid w:val="007162C9"/>
    <w:rsid w:val="007207CC"/>
    <w:rsid w:val="00720A85"/>
    <w:rsid w:val="00721AB1"/>
    <w:rsid w:val="00721E6F"/>
    <w:rsid w:val="00722761"/>
    <w:rsid w:val="00723505"/>
    <w:rsid w:val="0072669B"/>
    <w:rsid w:val="00730174"/>
    <w:rsid w:val="007305F4"/>
    <w:rsid w:val="007351A6"/>
    <w:rsid w:val="00736A7F"/>
    <w:rsid w:val="0073721A"/>
    <w:rsid w:val="00741839"/>
    <w:rsid w:val="00750F5B"/>
    <w:rsid w:val="00753C7D"/>
    <w:rsid w:val="00760FD8"/>
    <w:rsid w:val="0076225D"/>
    <w:rsid w:val="0076283B"/>
    <w:rsid w:val="00763215"/>
    <w:rsid w:val="0076592C"/>
    <w:rsid w:val="00766BE2"/>
    <w:rsid w:val="00772975"/>
    <w:rsid w:val="00772B15"/>
    <w:rsid w:val="007740BA"/>
    <w:rsid w:val="00774B3B"/>
    <w:rsid w:val="007753F6"/>
    <w:rsid w:val="00785A34"/>
    <w:rsid w:val="00791EBC"/>
    <w:rsid w:val="007A432E"/>
    <w:rsid w:val="007A6D67"/>
    <w:rsid w:val="007A70BE"/>
    <w:rsid w:val="007A7390"/>
    <w:rsid w:val="007B029F"/>
    <w:rsid w:val="007B7570"/>
    <w:rsid w:val="007B7EEA"/>
    <w:rsid w:val="007C0714"/>
    <w:rsid w:val="007C304F"/>
    <w:rsid w:val="007C34A1"/>
    <w:rsid w:val="007C5043"/>
    <w:rsid w:val="007C5ABA"/>
    <w:rsid w:val="007C621B"/>
    <w:rsid w:val="007D199E"/>
    <w:rsid w:val="007D2D7E"/>
    <w:rsid w:val="007D3F7B"/>
    <w:rsid w:val="007D4876"/>
    <w:rsid w:val="007D5267"/>
    <w:rsid w:val="007D538F"/>
    <w:rsid w:val="007D6EED"/>
    <w:rsid w:val="007E0089"/>
    <w:rsid w:val="007E012F"/>
    <w:rsid w:val="007E0FBB"/>
    <w:rsid w:val="007E30B1"/>
    <w:rsid w:val="007E354C"/>
    <w:rsid w:val="007E3A15"/>
    <w:rsid w:val="007E4585"/>
    <w:rsid w:val="007E5E0E"/>
    <w:rsid w:val="007F08DC"/>
    <w:rsid w:val="007F6D73"/>
    <w:rsid w:val="00800836"/>
    <w:rsid w:val="00800BF1"/>
    <w:rsid w:val="00805724"/>
    <w:rsid w:val="00806213"/>
    <w:rsid w:val="00807DC1"/>
    <w:rsid w:val="00812E7F"/>
    <w:rsid w:val="008130C3"/>
    <w:rsid w:val="00813ABB"/>
    <w:rsid w:val="008155CE"/>
    <w:rsid w:val="00820662"/>
    <w:rsid w:val="00821EA9"/>
    <w:rsid w:val="00822458"/>
    <w:rsid w:val="00822B3D"/>
    <w:rsid w:val="0082348E"/>
    <w:rsid w:val="008239F2"/>
    <w:rsid w:val="00825664"/>
    <w:rsid w:val="00827BF8"/>
    <w:rsid w:val="00831618"/>
    <w:rsid w:val="00834905"/>
    <w:rsid w:val="00835C38"/>
    <w:rsid w:val="00836963"/>
    <w:rsid w:val="00837F54"/>
    <w:rsid w:val="00840A4A"/>
    <w:rsid w:val="008420EE"/>
    <w:rsid w:val="00842DE7"/>
    <w:rsid w:val="008442C5"/>
    <w:rsid w:val="00845A3F"/>
    <w:rsid w:val="008500BB"/>
    <w:rsid w:val="00851E3A"/>
    <w:rsid w:val="00852882"/>
    <w:rsid w:val="0085438B"/>
    <w:rsid w:val="00855423"/>
    <w:rsid w:val="00856EB5"/>
    <w:rsid w:val="0086163E"/>
    <w:rsid w:val="00863BE0"/>
    <w:rsid w:val="00865A29"/>
    <w:rsid w:val="00867DAD"/>
    <w:rsid w:val="008706E9"/>
    <w:rsid w:val="00874D26"/>
    <w:rsid w:val="0087513F"/>
    <w:rsid w:val="00881022"/>
    <w:rsid w:val="00881AE7"/>
    <w:rsid w:val="008820DF"/>
    <w:rsid w:val="008822CA"/>
    <w:rsid w:val="0088443E"/>
    <w:rsid w:val="00885142"/>
    <w:rsid w:val="008865E8"/>
    <w:rsid w:val="00892B3D"/>
    <w:rsid w:val="008956F2"/>
    <w:rsid w:val="008959F1"/>
    <w:rsid w:val="00896A95"/>
    <w:rsid w:val="00896F97"/>
    <w:rsid w:val="008A1A71"/>
    <w:rsid w:val="008A1FA0"/>
    <w:rsid w:val="008A2AA6"/>
    <w:rsid w:val="008B271A"/>
    <w:rsid w:val="008B3779"/>
    <w:rsid w:val="008B3FA3"/>
    <w:rsid w:val="008B4B8E"/>
    <w:rsid w:val="008B4F36"/>
    <w:rsid w:val="008B68BA"/>
    <w:rsid w:val="008C0F4F"/>
    <w:rsid w:val="008C19C8"/>
    <w:rsid w:val="008C230F"/>
    <w:rsid w:val="008C54A6"/>
    <w:rsid w:val="008C5C5E"/>
    <w:rsid w:val="008C623A"/>
    <w:rsid w:val="008C7DB6"/>
    <w:rsid w:val="008D07DA"/>
    <w:rsid w:val="008D0A00"/>
    <w:rsid w:val="008D0F79"/>
    <w:rsid w:val="008D1072"/>
    <w:rsid w:val="008D1BD5"/>
    <w:rsid w:val="008D2FE8"/>
    <w:rsid w:val="008D34CE"/>
    <w:rsid w:val="008D56C9"/>
    <w:rsid w:val="008D6B14"/>
    <w:rsid w:val="008E06D1"/>
    <w:rsid w:val="008E07FB"/>
    <w:rsid w:val="008E16D4"/>
    <w:rsid w:val="008E16FB"/>
    <w:rsid w:val="008E29D8"/>
    <w:rsid w:val="008E7CD8"/>
    <w:rsid w:val="008F07A9"/>
    <w:rsid w:val="008F383F"/>
    <w:rsid w:val="008F6199"/>
    <w:rsid w:val="00902574"/>
    <w:rsid w:val="00902998"/>
    <w:rsid w:val="00903BB8"/>
    <w:rsid w:val="0090443C"/>
    <w:rsid w:val="00906E1C"/>
    <w:rsid w:val="00913269"/>
    <w:rsid w:val="00920F8E"/>
    <w:rsid w:val="00927C43"/>
    <w:rsid w:val="0093142B"/>
    <w:rsid w:val="00931FBA"/>
    <w:rsid w:val="00933427"/>
    <w:rsid w:val="00935C48"/>
    <w:rsid w:val="0094242E"/>
    <w:rsid w:val="00944A9A"/>
    <w:rsid w:val="00945177"/>
    <w:rsid w:val="00945836"/>
    <w:rsid w:val="009458E0"/>
    <w:rsid w:val="009509AB"/>
    <w:rsid w:val="009537A4"/>
    <w:rsid w:val="00955E45"/>
    <w:rsid w:val="00956D33"/>
    <w:rsid w:val="00957C8D"/>
    <w:rsid w:val="00960890"/>
    <w:rsid w:val="00961969"/>
    <w:rsid w:val="009619FE"/>
    <w:rsid w:val="00963ED0"/>
    <w:rsid w:val="009643B2"/>
    <w:rsid w:val="009645F4"/>
    <w:rsid w:val="00964FE9"/>
    <w:rsid w:val="009726D9"/>
    <w:rsid w:val="00973382"/>
    <w:rsid w:val="00974E07"/>
    <w:rsid w:val="00975813"/>
    <w:rsid w:val="00975FF4"/>
    <w:rsid w:val="009769CF"/>
    <w:rsid w:val="00977BD2"/>
    <w:rsid w:val="009812D5"/>
    <w:rsid w:val="0098446A"/>
    <w:rsid w:val="009927EE"/>
    <w:rsid w:val="009944FC"/>
    <w:rsid w:val="00996255"/>
    <w:rsid w:val="009A0048"/>
    <w:rsid w:val="009A0498"/>
    <w:rsid w:val="009A1499"/>
    <w:rsid w:val="009A1B10"/>
    <w:rsid w:val="009A2D6A"/>
    <w:rsid w:val="009A352D"/>
    <w:rsid w:val="009A3E4D"/>
    <w:rsid w:val="009A5789"/>
    <w:rsid w:val="009B12E0"/>
    <w:rsid w:val="009B20C3"/>
    <w:rsid w:val="009B2745"/>
    <w:rsid w:val="009B2858"/>
    <w:rsid w:val="009B652A"/>
    <w:rsid w:val="009B6711"/>
    <w:rsid w:val="009C00BC"/>
    <w:rsid w:val="009C49A1"/>
    <w:rsid w:val="009C5121"/>
    <w:rsid w:val="009C70DF"/>
    <w:rsid w:val="009C7CC4"/>
    <w:rsid w:val="009D175D"/>
    <w:rsid w:val="009D182F"/>
    <w:rsid w:val="009E2C32"/>
    <w:rsid w:val="009E4775"/>
    <w:rsid w:val="009E4F15"/>
    <w:rsid w:val="009F3F18"/>
    <w:rsid w:val="009F434C"/>
    <w:rsid w:val="009F6033"/>
    <w:rsid w:val="009F7DAA"/>
    <w:rsid w:val="00A03B62"/>
    <w:rsid w:val="00A05DD2"/>
    <w:rsid w:val="00A079CB"/>
    <w:rsid w:val="00A10913"/>
    <w:rsid w:val="00A14B54"/>
    <w:rsid w:val="00A1520A"/>
    <w:rsid w:val="00A16E6D"/>
    <w:rsid w:val="00A2457F"/>
    <w:rsid w:val="00A24E70"/>
    <w:rsid w:val="00A25085"/>
    <w:rsid w:val="00A27C58"/>
    <w:rsid w:val="00A27D1E"/>
    <w:rsid w:val="00A27D61"/>
    <w:rsid w:val="00A310A2"/>
    <w:rsid w:val="00A31582"/>
    <w:rsid w:val="00A32EB0"/>
    <w:rsid w:val="00A339BF"/>
    <w:rsid w:val="00A379A1"/>
    <w:rsid w:val="00A40780"/>
    <w:rsid w:val="00A42B53"/>
    <w:rsid w:val="00A42E74"/>
    <w:rsid w:val="00A445D8"/>
    <w:rsid w:val="00A46D94"/>
    <w:rsid w:val="00A51ECC"/>
    <w:rsid w:val="00A535B4"/>
    <w:rsid w:val="00A54122"/>
    <w:rsid w:val="00A54537"/>
    <w:rsid w:val="00A5481C"/>
    <w:rsid w:val="00A55841"/>
    <w:rsid w:val="00A55A2A"/>
    <w:rsid w:val="00A56D45"/>
    <w:rsid w:val="00A5755C"/>
    <w:rsid w:val="00A60641"/>
    <w:rsid w:val="00A6236E"/>
    <w:rsid w:val="00A66EA0"/>
    <w:rsid w:val="00A726F9"/>
    <w:rsid w:val="00A732AB"/>
    <w:rsid w:val="00A73912"/>
    <w:rsid w:val="00A74AAE"/>
    <w:rsid w:val="00A74DF6"/>
    <w:rsid w:val="00A75F45"/>
    <w:rsid w:val="00A7613E"/>
    <w:rsid w:val="00A76269"/>
    <w:rsid w:val="00A76633"/>
    <w:rsid w:val="00A76D04"/>
    <w:rsid w:val="00A80B85"/>
    <w:rsid w:val="00A817EF"/>
    <w:rsid w:val="00A82CA2"/>
    <w:rsid w:val="00A83BB2"/>
    <w:rsid w:val="00A8403B"/>
    <w:rsid w:val="00A84079"/>
    <w:rsid w:val="00A87319"/>
    <w:rsid w:val="00A87F1F"/>
    <w:rsid w:val="00A91B31"/>
    <w:rsid w:val="00A92306"/>
    <w:rsid w:val="00AA0823"/>
    <w:rsid w:val="00AA0D47"/>
    <w:rsid w:val="00AA2605"/>
    <w:rsid w:val="00AA78C1"/>
    <w:rsid w:val="00AB1ECE"/>
    <w:rsid w:val="00AB443A"/>
    <w:rsid w:val="00AB4BF8"/>
    <w:rsid w:val="00AB532C"/>
    <w:rsid w:val="00AC0339"/>
    <w:rsid w:val="00AC0A59"/>
    <w:rsid w:val="00AC16EB"/>
    <w:rsid w:val="00AD0ED0"/>
    <w:rsid w:val="00AD2C51"/>
    <w:rsid w:val="00AD42ED"/>
    <w:rsid w:val="00AD5547"/>
    <w:rsid w:val="00AD58DE"/>
    <w:rsid w:val="00AD5E33"/>
    <w:rsid w:val="00AD7187"/>
    <w:rsid w:val="00AE0046"/>
    <w:rsid w:val="00AE03D5"/>
    <w:rsid w:val="00AE0881"/>
    <w:rsid w:val="00AE1DD4"/>
    <w:rsid w:val="00AE2391"/>
    <w:rsid w:val="00AE3048"/>
    <w:rsid w:val="00AE361D"/>
    <w:rsid w:val="00AE43F4"/>
    <w:rsid w:val="00AE75D1"/>
    <w:rsid w:val="00AE78DF"/>
    <w:rsid w:val="00AF105D"/>
    <w:rsid w:val="00AF5970"/>
    <w:rsid w:val="00B005CF"/>
    <w:rsid w:val="00B03846"/>
    <w:rsid w:val="00B03C6C"/>
    <w:rsid w:val="00B06F61"/>
    <w:rsid w:val="00B0769B"/>
    <w:rsid w:val="00B07C99"/>
    <w:rsid w:val="00B126BF"/>
    <w:rsid w:val="00B12E54"/>
    <w:rsid w:val="00B14655"/>
    <w:rsid w:val="00B20247"/>
    <w:rsid w:val="00B215B4"/>
    <w:rsid w:val="00B21974"/>
    <w:rsid w:val="00B22267"/>
    <w:rsid w:val="00B25846"/>
    <w:rsid w:val="00B26F84"/>
    <w:rsid w:val="00B36060"/>
    <w:rsid w:val="00B37A45"/>
    <w:rsid w:val="00B42C8F"/>
    <w:rsid w:val="00B46CA2"/>
    <w:rsid w:val="00B47BB8"/>
    <w:rsid w:val="00B518F6"/>
    <w:rsid w:val="00B51BE5"/>
    <w:rsid w:val="00B527B6"/>
    <w:rsid w:val="00B54CDA"/>
    <w:rsid w:val="00B55466"/>
    <w:rsid w:val="00B6217B"/>
    <w:rsid w:val="00B64CAC"/>
    <w:rsid w:val="00B6635F"/>
    <w:rsid w:val="00B674D6"/>
    <w:rsid w:val="00B739B4"/>
    <w:rsid w:val="00B74C7B"/>
    <w:rsid w:val="00B76F2C"/>
    <w:rsid w:val="00B804AB"/>
    <w:rsid w:val="00B82474"/>
    <w:rsid w:val="00B83A49"/>
    <w:rsid w:val="00B84258"/>
    <w:rsid w:val="00B849BA"/>
    <w:rsid w:val="00B8570D"/>
    <w:rsid w:val="00B91665"/>
    <w:rsid w:val="00B93D1F"/>
    <w:rsid w:val="00B95EE9"/>
    <w:rsid w:val="00BA0B60"/>
    <w:rsid w:val="00BA1B9C"/>
    <w:rsid w:val="00BB0F3E"/>
    <w:rsid w:val="00BB3750"/>
    <w:rsid w:val="00BB4186"/>
    <w:rsid w:val="00BB44A9"/>
    <w:rsid w:val="00BB504E"/>
    <w:rsid w:val="00BB658C"/>
    <w:rsid w:val="00BB7048"/>
    <w:rsid w:val="00BB729F"/>
    <w:rsid w:val="00BB7751"/>
    <w:rsid w:val="00BC0229"/>
    <w:rsid w:val="00BC189E"/>
    <w:rsid w:val="00BC3137"/>
    <w:rsid w:val="00BC3B30"/>
    <w:rsid w:val="00BC65C7"/>
    <w:rsid w:val="00BC66B9"/>
    <w:rsid w:val="00BD04D9"/>
    <w:rsid w:val="00BD1A6C"/>
    <w:rsid w:val="00BD4E76"/>
    <w:rsid w:val="00BD6804"/>
    <w:rsid w:val="00BE0A18"/>
    <w:rsid w:val="00BE3421"/>
    <w:rsid w:val="00BE3C08"/>
    <w:rsid w:val="00BE62E9"/>
    <w:rsid w:val="00BE7689"/>
    <w:rsid w:val="00BF21D1"/>
    <w:rsid w:val="00BF2241"/>
    <w:rsid w:val="00BF27FF"/>
    <w:rsid w:val="00BF30CF"/>
    <w:rsid w:val="00BF5498"/>
    <w:rsid w:val="00BF57B5"/>
    <w:rsid w:val="00BF6B0D"/>
    <w:rsid w:val="00BF7D56"/>
    <w:rsid w:val="00C01BC5"/>
    <w:rsid w:val="00C038B8"/>
    <w:rsid w:val="00C0448D"/>
    <w:rsid w:val="00C07480"/>
    <w:rsid w:val="00C10415"/>
    <w:rsid w:val="00C116D2"/>
    <w:rsid w:val="00C11A21"/>
    <w:rsid w:val="00C11F0A"/>
    <w:rsid w:val="00C1434A"/>
    <w:rsid w:val="00C23088"/>
    <w:rsid w:val="00C24C09"/>
    <w:rsid w:val="00C30C69"/>
    <w:rsid w:val="00C31B07"/>
    <w:rsid w:val="00C349B1"/>
    <w:rsid w:val="00C35E07"/>
    <w:rsid w:val="00C35E2E"/>
    <w:rsid w:val="00C361C8"/>
    <w:rsid w:val="00C37635"/>
    <w:rsid w:val="00C404E2"/>
    <w:rsid w:val="00C4115C"/>
    <w:rsid w:val="00C41648"/>
    <w:rsid w:val="00C41B2B"/>
    <w:rsid w:val="00C41C2C"/>
    <w:rsid w:val="00C424C3"/>
    <w:rsid w:val="00C429F5"/>
    <w:rsid w:val="00C47084"/>
    <w:rsid w:val="00C470C0"/>
    <w:rsid w:val="00C472CA"/>
    <w:rsid w:val="00C51163"/>
    <w:rsid w:val="00C51AC9"/>
    <w:rsid w:val="00C5323E"/>
    <w:rsid w:val="00C5568F"/>
    <w:rsid w:val="00C57FDC"/>
    <w:rsid w:val="00C60418"/>
    <w:rsid w:val="00C60431"/>
    <w:rsid w:val="00C60AE4"/>
    <w:rsid w:val="00C61CB5"/>
    <w:rsid w:val="00C645E2"/>
    <w:rsid w:val="00C70789"/>
    <w:rsid w:val="00C70977"/>
    <w:rsid w:val="00C73D34"/>
    <w:rsid w:val="00C74207"/>
    <w:rsid w:val="00C75252"/>
    <w:rsid w:val="00C77843"/>
    <w:rsid w:val="00C77F64"/>
    <w:rsid w:val="00C85216"/>
    <w:rsid w:val="00C852EE"/>
    <w:rsid w:val="00C85614"/>
    <w:rsid w:val="00C87B4B"/>
    <w:rsid w:val="00C90B31"/>
    <w:rsid w:val="00C92A97"/>
    <w:rsid w:val="00C97D6C"/>
    <w:rsid w:val="00CA105B"/>
    <w:rsid w:val="00CA1E06"/>
    <w:rsid w:val="00CA6D04"/>
    <w:rsid w:val="00CA7B47"/>
    <w:rsid w:val="00CB1E0F"/>
    <w:rsid w:val="00CB1EF9"/>
    <w:rsid w:val="00CB27F9"/>
    <w:rsid w:val="00CB2A0D"/>
    <w:rsid w:val="00CB4247"/>
    <w:rsid w:val="00CB5413"/>
    <w:rsid w:val="00CB7178"/>
    <w:rsid w:val="00CB74B3"/>
    <w:rsid w:val="00CC2E4F"/>
    <w:rsid w:val="00CC3620"/>
    <w:rsid w:val="00CC3AFC"/>
    <w:rsid w:val="00CC63AF"/>
    <w:rsid w:val="00CC6A70"/>
    <w:rsid w:val="00CC7386"/>
    <w:rsid w:val="00CC7A35"/>
    <w:rsid w:val="00CD0148"/>
    <w:rsid w:val="00CD0AB0"/>
    <w:rsid w:val="00CD0B6B"/>
    <w:rsid w:val="00CD1785"/>
    <w:rsid w:val="00CD17AC"/>
    <w:rsid w:val="00CD262D"/>
    <w:rsid w:val="00CD2AAE"/>
    <w:rsid w:val="00CD5611"/>
    <w:rsid w:val="00CD7114"/>
    <w:rsid w:val="00CE1486"/>
    <w:rsid w:val="00CE1B67"/>
    <w:rsid w:val="00CE5E34"/>
    <w:rsid w:val="00CE6B48"/>
    <w:rsid w:val="00CF2950"/>
    <w:rsid w:val="00CF3233"/>
    <w:rsid w:val="00CF476F"/>
    <w:rsid w:val="00CF79DC"/>
    <w:rsid w:val="00D007B1"/>
    <w:rsid w:val="00D014CB"/>
    <w:rsid w:val="00D01E02"/>
    <w:rsid w:val="00D02070"/>
    <w:rsid w:val="00D047AC"/>
    <w:rsid w:val="00D04EDA"/>
    <w:rsid w:val="00D05BAB"/>
    <w:rsid w:val="00D05EB6"/>
    <w:rsid w:val="00D1023D"/>
    <w:rsid w:val="00D10CD6"/>
    <w:rsid w:val="00D127E0"/>
    <w:rsid w:val="00D150E9"/>
    <w:rsid w:val="00D179EF"/>
    <w:rsid w:val="00D17E79"/>
    <w:rsid w:val="00D24BEB"/>
    <w:rsid w:val="00D24F15"/>
    <w:rsid w:val="00D263C0"/>
    <w:rsid w:val="00D27077"/>
    <w:rsid w:val="00D316DF"/>
    <w:rsid w:val="00D32BF0"/>
    <w:rsid w:val="00D35CBC"/>
    <w:rsid w:val="00D36861"/>
    <w:rsid w:val="00D37F8A"/>
    <w:rsid w:val="00D402F2"/>
    <w:rsid w:val="00D40808"/>
    <w:rsid w:val="00D40B25"/>
    <w:rsid w:val="00D41ED3"/>
    <w:rsid w:val="00D41F64"/>
    <w:rsid w:val="00D52023"/>
    <w:rsid w:val="00D523D2"/>
    <w:rsid w:val="00D52657"/>
    <w:rsid w:val="00D57E0F"/>
    <w:rsid w:val="00D6056F"/>
    <w:rsid w:val="00D60B35"/>
    <w:rsid w:val="00D61105"/>
    <w:rsid w:val="00D618B7"/>
    <w:rsid w:val="00D64307"/>
    <w:rsid w:val="00D675CC"/>
    <w:rsid w:val="00D676DD"/>
    <w:rsid w:val="00D70049"/>
    <w:rsid w:val="00D754F2"/>
    <w:rsid w:val="00D81A01"/>
    <w:rsid w:val="00D91233"/>
    <w:rsid w:val="00D91299"/>
    <w:rsid w:val="00D93C5F"/>
    <w:rsid w:val="00D947BC"/>
    <w:rsid w:val="00DA411A"/>
    <w:rsid w:val="00DA49CF"/>
    <w:rsid w:val="00DA4B78"/>
    <w:rsid w:val="00DA6D75"/>
    <w:rsid w:val="00DA7508"/>
    <w:rsid w:val="00DB2635"/>
    <w:rsid w:val="00DB3D80"/>
    <w:rsid w:val="00DB3DCD"/>
    <w:rsid w:val="00DC2A01"/>
    <w:rsid w:val="00DC314D"/>
    <w:rsid w:val="00DC610E"/>
    <w:rsid w:val="00DC7188"/>
    <w:rsid w:val="00DC7EDF"/>
    <w:rsid w:val="00DD0B2F"/>
    <w:rsid w:val="00DD59EF"/>
    <w:rsid w:val="00DD6CDC"/>
    <w:rsid w:val="00DE11BE"/>
    <w:rsid w:val="00DE2AB0"/>
    <w:rsid w:val="00DE3769"/>
    <w:rsid w:val="00DE5DC3"/>
    <w:rsid w:val="00DE6EF0"/>
    <w:rsid w:val="00DE7C41"/>
    <w:rsid w:val="00DF23E3"/>
    <w:rsid w:val="00E02C23"/>
    <w:rsid w:val="00E02FB5"/>
    <w:rsid w:val="00E0305B"/>
    <w:rsid w:val="00E03BC5"/>
    <w:rsid w:val="00E10961"/>
    <w:rsid w:val="00E10C4C"/>
    <w:rsid w:val="00E10F9D"/>
    <w:rsid w:val="00E12BAC"/>
    <w:rsid w:val="00E130BD"/>
    <w:rsid w:val="00E173C1"/>
    <w:rsid w:val="00E17879"/>
    <w:rsid w:val="00E213F7"/>
    <w:rsid w:val="00E22DA4"/>
    <w:rsid w:val="00E2476F"/>
    <w:rsid w:val="00E266DC"/>
    <w:rsid w:val="00E26E6F"/>
    <w:rsid w:val="00E2706E"/>
    <w:rsid w:val="00E32EC7"/>
    <w:rsid w:val="00E351C5"/>
    <w:rsid w:val="00E35B16"/>
    <w:rsid w:val="00E3779B"/>
    <w:rsid w:val="00E43EAD"/>
    <w:rsid w:val="00E44138"/>
    <w:rsid w:val="00E472D5"/>
    <w:rsid w:val="00E475C5"/>
    <w:rsid w:val="00E47CC2"/>
    <w:rsid w:val="00E5176B"/>
    <w:rsid w:val="00E53A41"/>
    <w:rsid w:val="00E54937"/>
    <w:rsid w:val="00E55AAB"/>
    <w:rsid w:val="00E55C5E"/>
    <w:rsid w:val="00E56CB6"/>
    <w:rsid w:val="00E600B5"/>
    <w:rsid w:val="00E6060D"/>
    <w:rsid w:val="00E62288"/>
    <w:rsid w:val="00E62646"/>
    <w:rsid w:val="00E64ED1"/>
    <w:rsid w:val="00E661EC"/>
    <w:rsid w:val="00E723F3"/>
    <w:rsid w:val="00E751B1"/>
    <w:rsid w:val="00E773BB"/>
    <w:rsid w:val="00E77914"/>
    <w:rsid w:val="00E80F8A"/>
    <w:rsid w:val="00E871B3"/>
    <w:rsid w:val="00E909E3"/>
    <w:rsid w:val="00E90D3A"/>
    <w:rsid w:val="00E91215"/>
    <w:rsid w:val="00E91639"/>
    <w:rsid w:val="00E91F29"/>
    <w:rsid w:val="00E93F55"/>
    <w:rsid w:val="00E9497D"/>
    <w:rsid w:val="00E94D3C"/>
    <w:rsid w:val="00E950B0"/>
    <w:rsid w:val="00E97399"/>
    <w:rsid w:val="00EA4D39"/>
    <w:rsid w:val="00EA5FA8"/>
    <w:rsid w:val="00EB2EE9"/>
    <w:rsid w:val="00EB7EDE"/>
    <w:rsid w:val="00EC4D48"/>
    <w:rsid w:val="00EC57CC"/>
    <w:rsid w:val="00EC65C7"/>
    <w:rsid w:val="00EC72DE"/>
    <w:rsid w:val="00ED044B"/>
    <w:rsid w:val="00ED0E1B"/>
    <w:rsid w:val="00ED6E82"/>
    <w:rsid w:val="00ED76EA"/>
    <w:rsid w:val="00EE00AE"/>
    <w:rsid w:val="00EE0718"/>
    <w:rsid w:val="00EE0FE1"/>
    <w:rsid w:val="00EE30C6"/>
    <w:rsid w:val="00EE7548"/>
    <w:rsid w:val="00EF082C"/>
    <w:rsid w:val="00EF2AD6"/>
    <w:rsid w:val="00EF342E"/>
    <w:rsid w:val="00EF3BD7"/>
    <w:rsid w:val="00EF4990"/>
    <w:rsid w:val="00EF6572"/>
    <w:rsid w:val="00EF7C1B"/>
    <w:rsid w:val="00EF7E93"/>
    <w:rsid w:val="00F04E86"/>
    <w:rsid w:val="00F069F6"/>
    <w:rsid w:val="00F110CD"/>
    <w:rsid w:val="00F11F83"/>
    <w:rsid w:val="00F13AA3"/>
    <w:rsid w:val="00F13FC4"/>
    <w:rsid w:val="00F15A8F"/>
    <w:rsid w:val="00F22762"/>
    <w:rsid w:val="00F2317E"/>
    <w:rsid w:val="00F236F8"/>
    <w:rsid w:val="00F27BF4"/>
    <w:rsid w:val="00F30A2D"/>
    <w:rsid w:val="00F31EA8"/>
    <w:rsid w:val="00F36DE6"/>
    <w:rsid w:val="00F37488"/>
    <w:rsid w:val="00F40CFC"/>
    <w:rsid w:val="00F45D53"/>
    <w:rsid w:val="00F463E0"/>
    <w:rsid w:val="00F46A72"/>
    <w:rsid w:val="00F47904"/>
    <w:rsid w:val="00F50565"/>
    <w:rsid w:val="00F516F5"/>
    <w:rsid w:val="00F52C9D"/>
    <w:rsid w:val="00F53C1E"/>
    <w:rsid w:val="00F566D5"/>
    <w:rsid w:val="00F63F3A"/>
    <w:rsid w:val="00F6568A"/>
    <w:rsid w:val="00F71E6F"/>
    <w:rsid w:val="00F76DD2"/>
    <w:rsid w:val="00F80748"/>
    <w:rsid w:val="00F8340E"/>
    <w:rsid w:val="00F861DE"/>
    <w:rsid w:val="00F90F7D"/>
    <w:rsid w:val="00F91DF3"/>
    <w:rsid w:val="00F92087"/>
    <w:rsid w:val="00F94D22"/>
    <w:rsid w:val="00F94DEF"/>
    <w:rsid w:val="00F95910"/>
    <w:rsid w:val="00F963A3"/>
    <w:rsid w:val="00F972AA"/>
    <w:rsid w:val="00F973A6"/>
    <w:rsid w:val="00FA070A"/>
    <w:rsid w:val="00FA0A74"/>
    <w:rsid w:val="00FA4B4F"/>
    <w:rsid w:val="00FA6FF2"/>
    <w:rsid w:val="00FA77EE"/>
    <w:rsid w:val="00FA7BFA"/>
    <w:rsid w:val="00FB54AB"/>
    <w:rsid w:val="00FB5764"/>
    <w:rsid w:val="00FB6437"/>
    <w:rsid w:val="00FB7E7D"/>
    <w:rsid w:val="00FC2FBA"/>
    <w:rsid w:val="00FC5DA4"/>
    <w:rsid w:val="00FC68F9"/>
    <w:rsid w:val="00FC6EE9"/>
    <w:rsid w:val="00FD145C"/>
    <w:rsid w:val="00FD1A3D"/>
    <w:rsid w:val="00FD274D"/>
    <w:rsid w:val="00FD52FC"/>
    <w:rsid w:val="00FD620E"/>
    <w:rsid w:val="00FF3536"/>
    <w:rsid w:val="00FF3954"/>
    <w:rsid w:val="00FF4636"/>
    <w:rsid w:val="00FF580F"/>
    <w:rsid w:val="00FF5D2B"/>
    <w:rsid w:val="01422176"/>
    <w:rsid w:val="02113E4F"/>
    <w:rsid w:val="02C5121A"/>
    <w:rsid w:val="03FC5E82"/>
    <w:rsid w:val="043715E2"/>
    <w:rsid w:val="04BD14C3"/>
    <w:rsid w:val="061C285F"/>
    <w:rsid w:val="06322C8C"/>
    <w:rsid w:val="06464921"/>
    <w:rsid w:val="06CE625A"/>
    <w:rsid w:val="07293490"/>
    <w:rsid w:val="077B5E33"/>
    <w:rsid w:val="09147308"/>
    <w:rsid w:val="0ACD3DC1"/>
    <w:rsid w:val="0C421061"/>
    <w:rsid w:val="0F96368D"/>
    <w:rsid w:val="0FB00BF3"/>
    <w:rsid w:val="0FDA17CC"/>
    <w:rsid w:val="105B7E39"/>
    <w:rsid w:val="108A4FA0"/>
    <w:rsid w:val="10A818CA"/>
    <w:rsid w:val="128F24EA"/>
    <w:rsid w:val="12BE2183"/>
    <w:rsid w:val="12C233B6"/>
    <w:rsid w:val="1396735C"/>
    <w:rsid w:val="13A22EA1"/>
    <w:rsid w:val="13FA500A"/>
    <w:rsid w:val="14DC174A"/>
    <w:rsid w:val="15080EBE"/>
    <w:rsid w:val="15356E8A"/>
    <w:rsid w:val="16900C25"/>
    <w:rsid w:val="17F13E79"/>
    <w:rsid w:val="18FA1151"/>
    <w:rsid w:val="19025A0D"/>
    <w:rsid w:val="195C65FC"/>
    <w:rsid w:val="1B8141CE"/>
    <w:rsid w:val="1C4B5D71"/>
    <w:rsid w:val="1D347916"/>
    <w:rsid w:val="1EBB651C"/>
    <w:rsid w:val="1ED45F28"/>
    <w:rsid w:val="1EDE70A2"/>
    <w:rsid w:val="205B4263"/>
    <w:rsid w:val="221955EF"/>
    <w:rsid w:val="2264422E"/>
    <w:rsid w:val="23164DB9"/>
    <w:rsid w:val="23CF3BAA"/>
    <w:rsid w:val="25B41E9D"/>
    <w:rsid w:val="275774BC"/>
    <w:rsid w:val="278534A9"/>
    <w:rsid w:val="28792F09"/>
    <w:rsid w:val="28A075FF"/>
    <w:rsid w:val="2983524E"/>
    <w:rsid w:val="2AE7070C"/>
    <w:rsid w:val="2B310D1E"/>
    <w:rsid w:val="2BC06835"/>
    <w:rsid w:val="2C730B86"/>
    <w:rsid w:val="2C837A87"/>
    <w:rsid w:val="2CFE48F4"/>
    <w:rsid w:val="2D97428A"/>
    <w:rsid w:val="2DD4426C"/>
    <w:rsid w:val="2FB70B5B"/>
    <w:rsid w:val="31796CAF"/>
    <w:rsid w:val="325623AA"/>
    <w:rsid w:val="33537DE6"/>
    <w:rsid w:val="337B4EF0"/>
    <w:rsid w:val="33C74298"/>
    <w:rsid w:val="37CB5D1A"/>
    <w:rsid w:val="37DC231B"/>
    <w:rsid w:val="38F73316"/>
    <w:rsid w:val="38FC0CD5"/>
    <w:rsid w:val="398A2E2E"/>
    <w:rsid w:val="3AD54840"/>
    <w:rsid w:val="3AF57197"/>
    <w:rsid w:val="3C1B043E"/>
    <w:rsid w:val="3C2E409B"/>
    <w:rsid w:val="3CBD13FD"/>
    <w:rsid w:val="3DC90664"/>
    <w:rsid w:val="3E41232F"/>
    <w:rsid w:val="40080D86"/>
    <w:rsid w:val="40BA4177"/>
    <w:rsid w:val="412818A5"/>
    <w:rsid w:val="431E31A2"/>
    <w:rsid w:val="442A741F"/>
    <w:rsid w:val="45187EE0"/>
    <w:rsid w:val="4565044C"/>
    <w:rsid w:val="46014481"/>
    <w:rsid w:val="46C00418"/>
    <w:rsid w:val="46C31C00"/>
    <w:rsid w:val="477B4832"/>
    <w:rsid w:val="477D449F"/>
    <w:rsid w:val="479559FD"/>
    <w:rsid w:val="49F00D5F"/>
    <w:rsid w:val="4A8465F5"/>
    <w:rsid w:val="4B5C5B9F"/>
    <w:rsid w:val="4C6F0F25"/>
    <w:rsid w:val="4D1B2795"/>
    <w:rsid w:val="4E8B62D9"/>
    <w:rsid w:val="4F343DA7"/>
    <w:rsid w:val="4F58109C"/>
    <w:rsid w:val="500242FE"/>
    <w:rsid w:val="50653B63"/>
    <w:rsid w:val="50C47932"/>
    <w:rsid w:val="513E0EB3"/>
    <w:rsid w:val="52643142"/>
    <w:rsid w:val="53EF11F3"/>
    <w:rsid w:val="54C17DA7"/>
    <w:rsid w:val="56E20EC8"/>
    <w:rsid w:val="56E35D53"/>
    <w:rsid w:val="571157DD"/>
    <w:rsid w:val="571264AF"/>
    <w:rsid w:val="57B2047E"/>
    <w:rsid w:val="585F0CFA"/>
    <w:rsid w:val="58900DF0"/>
    <w:rsid w:val="58B84252"/>
    <w:rsid w:val="58BE6CA1"/>
    <w:rsid w:val="58D53A51"/>
    <w:rsid w:val="592C4958"/>
    <w:rsid w:val="59B72774"/>
    <w:rsid w:val="5AB578C2"/>
    <w:rsid w:val="5ADF1BC9"/>
    <w:rsid w:val="5B251747"/>
    <w:rsid w:val="5B5D4EA9"/>
    <w:rsid w:val="5B6D0D13"/>
    <w:rsid w:val="5BFB5E7D"/>
    <w:rsid w:val="5C0F2107"/>
    <w:rsid w:val="5D135882"/>
    <w:rsid w:val="5E543814"/>
    <w:rsid w:val="5EBA0FF0"/>
    <w:rsid w:val="5F5F1F22"/>
    <w:rsid w:val="5FBA7BE3"/>
    <w:rsid w:val="61620FB6"/>
    <w:rsid w:val="622814F0"/>
    <w:rsid w:val="629936C2"/>
    <w:rsid w:val="64E80A78"/>
    <w:rsid w:val="65850DD1"/>
    <w:rsid w:val="665A501E"/>
    <w:rsid w:val="67346724"/>
    <w:rsid w:val="678D4F0C"/>
    <w:rsid w:val="67A6286B"/>
    <w:rsid w:val="68B42BF3"/>
    <w:rsid w:val="6B3A19E3"/>
    <w:rsid w:val="6D30452E"/>
    <w:rsid w:val="6E407887"/>
    <w:rsid w:val="6E750089"/>
    <w:rsid w:val="6EFE1F56"/>
    <w:rsid w:val="70A90E2D"/>
    <w:rsid w:val="73195E4C"/>
    <w:rsid w:val="7355363E"/>
    <w:rsid w:val="745E6FF3"/>
    <w:rsid w:val="7530793A"/>
    <w:rsid w:val="76093A95"/>
    <w:rsid w:val="76453019"/>
    <w:rsid w:val="76E14E65"/>
    <w:rsid w:val="77107C07"/>
    <w:rsid w:val="78463590"/>
    <w:rsid w:val="78471CC9"/>
    <w:rsid w:val="788419CF"/>
    <w:rsid w:val="7A4259A3"/>
    <w:rsid w:val="7A8606B3"/>
    <w:rsid w:val="7AE110A7"/>
    <w:rsid w:val="7B0408F4"/>
    <w:rsid w:val="7D23263F"/>
    <w:rsid w:val="7D355645"/>
    <w:rsid w:val="7DAF2BA0"/>
    <w:rsid w:val="7FAC2B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11">
    <w:name w:val="Default Paragraph Font"/>
    <w:uiPriority w:val="0"/>
  </w:style>
  <w:style w:type="table" w:default="1" w:styleId="10">
    <w:name w:val="Normal Table"/>
    <w:unhideWhenUsed/>
    <w:uiPriority w:val="99"/>
    <w:tblPr>
      <w:tblCellMar>
        <w:top w:w="0" w:type="dxa"/>
        <w:left w:w="108" w:type="dxa"/>
        <w:bottom w:w="0" w:type="dxa"/>
        <w:right w:w="108" w:type="dxa"/>
      </w:tblCellMar>
    </w:tblPr>
  </w:style>
  <w:style w:type="paragraph" w:styleId="2">
    <w:name w:val="Document Map"/>
    <w:basedOn w:val="1"/>
    <w:link w:val="13"/>
    <w:qFormat/>
    <w:uiPriority w:val="0"/>
    <w:rPr>
      <w:rFonts w:ascii="宋体"/>
      <w:sz w:val="18"/>
      <w:szCs w:val="18"/>
    </w:rPr>
  </w:style>
  <w:style w:type="paragraph" w:styleId="3">
    <w:name w:val="annotation text"/>
    <w:basedOn w:val="1"/>
    <w:qFormat/>
    <w:uiPriority w:val="0"/>
    <w:pPr>
      <w:jc w:val="left"/>
    </w:pPr>
  </w:style>
  <w:style w:type="paragraph" w:styleId="4">
    <w:name w:val="Body Text Indent 2"/>
    <w:basedOn w:val="1"/>
    <w:link w:val="14"/>
    <w:qFormat/>
    <w:uiPriority w:val="0"/>
    <w:pPr>
      <w:ind w:firstLine="640" w:firstLineChars="200"/>
    </w:pPr>
    <w:rPr>
      <w:rFonts w:ascii="楷体_GB2312" w:hAnsi="Courier New" w:eastAsia="楷体_GB2312"/>
      <w:szCs w:val="20"/>
    </w:rPr>
  </w:style>
  <w:style w:type="paragraph" w:styleId="5">
    <w:name w:val="Balloon Text"/>
    <w:basedOn w:val="1"/>
    <w:semiHidden/>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5"/>
    <w:qFormat/>
    <w:uiPriority w:val="11"/>
    <w:pPr>
      <w:spacing w:before="240" w:after="60" w:line="312" w:lineRule="auto"/>
      <w:jc w:val="center"/>
      <w:outlineLvl w:val="1"/>
    </w:pPr>
    <w:rPr>
      <w:rFonts w:ascii="Cambria" w:hAnsi="Cambria"/>
      <w:b/>
      <w:bCs/>
      <w:kern w:val="28"/>
      <w:szCs w:val="32"/>
    </w:rPr>
  </w:style>
  <w:style w:type="paragraph" w:styleId="9">
    <w:name w:val="Title"/>
    <w:basedOn w:val="1"/>
    <w:next w:val="1"/>
    <w:link w:val="16"/>
    <w:qFormat/>
    <w:uiPriority w:val="0"/>
    <w:pPr>
      <w:spacing w:before="240" w:beforeLines="0" w:after="60" w:afterLines="0"/>
      <w:jc w:val="center"/>
      <w:outlineLvl w:val="0"/>
    </w:pPr>
    <w:rPr>
      <w:rFonts w:ascii="Cambria" w:hAnsi="Cambria"/>
      <w:b/>
      <w:bCs/>
      <w:szCs w:val="32"/>
    </w:rPr>
  </w:style>
  <w:style w:type="character" w:styleId="12">
    <w:name w:val="page number"/>
    <w:uiPriority w:val="0"/>
  </w:style>
  <w:style w:type="character" w:customStyle="1" w:styleId="13">
    <w:name w:val="文档结构图 Char"/>
    <w:link w:val="2"/>
    <w:uiPriority w:val="0"/>
    <w:rPr>
      <w:rFonts w:ascii="宋体"/>
      <w:kern w:val="2"/>
      <w:sz w:val="18"/>
      <w:szCs w:val="18"/>
    </w:rPr>
  </w:style>
  <w:style w:type="character" w:customStyle="1" w:styleId="14">
    <w:name w:val="正文文本缩进 2 Char"/>
    <w:link w:val="4"/>
    <w:uiPriority w:val="0"/>
    <w:rPr>
      <w:rFonts w:ascii="楷体_GB2312" w:hAnsi="Courier New" w:eastAsia="楷体_GB2312"/>
      <w:kern w:val="2"/>
      <w:sz w:val="32"/>
    </w:rPr>
  </w:style>
  <w:style w:type="character" w:customStyle="1" w:styleId="15">
    <w:name w:val="副标题 Char"/>
    <w:link w:val="8"/>
    <w:uiPriority w:val="11"/>
    <w:rPr>
      <w:rFonts w:ascii="Cambria" w:hAnsi="Cambria" w:cs="Times New Roman"/>
      <w:b/>
      <w:bCs/>
      <w:kern w:val="28"/>
      <w:sz w:val="32"/>
      <w:szCs w:val="32"/>
    </w:rPr>
  </w:style>
  <w:style w:type="character" w:customStyle="1" w:styleId="16">
    <w:name w:val="标题 Char"/>
    <w:link w:val="9"/>
    <w:qFormat/>
    <w:uiPriority w:val="0"/>
    <w:rPr>
      <w:rFonts w:ascii="Cambria" w:hAnsi="Cambria" w:cs="Times New Roman"/>
      <w:b/>
      <w:bCs/>
      <w:kern w:val="2"/>
      <w:sz w:val="32"/>
      <w:szCs w:val="32"/>
    </w:rPr>
  </w:style>
  <w:style w:type="character" w:customStyle="1" w:styleId="17">
    <w:name w:val="样式 仿宋 三号 Char"/>
    <w:qFormat/>
    <w:uiPriority w:val="0"/>
    <w:rPr>
      <w:rFonts w:ascii="仿宋" w:hAnsi="仿宋" w:eastAsia="仿宋" w:cs="宋体"/>
      <w:kern w:val="2"/>
      <w:sz w:val="32"/>
      <w:lang w:val="en-US" w:eastAsia="zh-CN" w:bidi="ar-SA"/>
    </w:rPr>
  </w:style>
  <w:style w:type="character" w:customStyle="1" w:styleId="18">
    <w:name w:val="p0{858D7CFB-ED40-4347-BF05-701D383B685F}"/>
    <w:link w:val="19"/>
    <w:uiPriority w:val="0"/>
    <w:rPr>
      <w:kern w:val="0"/>
      <w:szCs w:val="21"/>
    </w:rPr>
  </w:style>
  <w:style w:type="paragraph" w:customStyle="1" w:styleId="19">
    <w:name w:val="p0"/>
    <w:basedOn w:val="1"/>
    <w:link w:val="18"/>
    <w:qFormat/>
    <w:uiPriority w:val="0"/>
    <w:pPr>
      <w:widowControl/>
    </w:pPr>
    <w:rPr>
      <w:kern w:val="0"/>
      <w:sz w:val="20"/>
      <w:szCs w:val="21"/>
    </w:rPr>
  </w:style>
  <w:style w:type="character" w:customStyle="1" w:styleId="20">
    <w:name w:val="page number"/>
    <w:qFormat/>
    <w:uiPriority w:val="0"/>
  </w:style>
  <w:style w:type="paragraph" w:customStyle="1" w:styleId="21">
    <w:name w:val=" Char"/>
    <w:basedOn w:val="1"/>
    <w:qFormat/>
    <w:uiPriority w:val="0"/>
    <w:pPr>
      <w:widowControl/>
      <w:jc w:val="left"/>
    </w:pPr>
  </w:style>
  <w:style w:type="paragraph" w:customStyle="1" w:styleId="22">
    <w:name w:val="p17"/>
    <w:basedOn w:val="1"/>
    <w:qFormat/>
    <w:uiPriority w:val="0"/>
    <w:pPr>
      <w:widowControl/>
    </w:pPr>
    <w:rPr>
      <w:rFonts w:ascii="宋体" w:hAnsi="宋体" w:cs="宋体"/>
      <w:kern w:val="0"/>
      <w:szCs w:val="21"/>
    </w:rPr>
  </w:style>
  <w:style w:type="paragraph" w:customStyle="1" w:styleId="23">
    <w:name w:val=" 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oleObject" Target="embeddings/oleObject6.bin"/><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51"/>
    <customShpInfo spid="_x0000_s2052"/>
    <customShpInfo spid="_x0000_s2053"/>
    <customShpInfo spid="_x0000_s2057"/>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10577</Words>
  <Characters>13024</Characters>
  <Lines>115</Lines>
  <Paragraphs>32</Paragraphs>
  <TotalTime>2</TotalTime>
  <ScaleCrop>false</ScaleCrop>
  <LinksUpToDate>false</LinksUpToDate>
  <CharactersWithSpaces>13862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2021-08-05T03:03:00Z</dcterms:created>
  <cp:lastPrinted>2022-09-27T08:13:00Z</cp:lastPrinted>
  <dcterms:modified xsi:type="dcterms:W3CDTF">2023-07-20T07:41:59Z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A93D67F8083E4CEEA992194E69E4B9DD_13</vt:lpwstr>
  </property>
</Properties>
</file>